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white"/>
        </w:rPr>
        <w:t xml:space="preserve">Приложение </w:t>
      </w:r>
      <w:r>
        <w:rPr>
          <w:b/>
          <w:bCs/>
          <w:sz w:val="26"/>
          <w:szCs w:val="26"/>
          <w:highlight w:val="white"/>
        </w:rPr>
        <w:t xml:space="preserve">№ </w:t>
      </w:r>
      <w:r>
        <w:rPr>
          <w:b/>
          <w:bCs/>
          <w:sz w:val="26"/>
          <w:szCs w:val="26"/>
          <w:highlight w:val="white"/>
        </w:rPr>
        <w:t xml:space="preserve">1</w:t>
      </w:r>
      <w:r>
        <w:rPr>
          <w:b/>
          <w:bCs/>
          <w:sz w:val="26"/>
          <w:szCs w:val="26"/>
        </w:rPr>
        <w:t xml:space="preserve"> к Документации о закупке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left"/>
        <w:tabs>
          <w:tab w:val="left" w:pos="8280" w:leader="none"/>
        </w:tabs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b/>
          <w:sz w:val="24"/>
          <w:szCs w:val="24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оказани</w:t>
      </w:r>
      <w:r>
        <w:rPr>
          <w:rFonts w:eastAsia="Calibri"/>
          <w:b/>
        </w:rPr>
        <w:t xml:space="preserve">е</w:t>
      </w:r>
      <w:r>
        <w:rPr>
          <w:rFonts w:eastAsia="Calibri"/>
          <w:b/>
        </w:rPr>
        <w:t xml:space="preserve"> услуг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b/>
          <w:bCs/>
        </w:rPr>
      </w:pPr>
      <w:r>
        <w:rPr>
          <w:b/>
          <w:bCs/>
        </w:rPr>
        <w:t xml:space="preserve">ОКПД2 71.12.40.120 Оказание услуг по поверке и сервисному обслуживанию конвейерных весов Хабаровской ТЭЦ-2, Хабаровской ТЭЦ-3, Комсомольской ТЭЦ-2, Амурской ТЭЦ-1, ТЭЦ в г. Советская Гавань, Партизанской ГРЭС, </w:t>
      </w:r>
      <w:r>
        <w:rPr>
          <w:b/>
          <w:bCs/>
        </w:rPr>
        <w:t xml:space="preserve">Нерюнгринской</w:t>
      </w:r>
      <w:r>
        <w:rPr>
          <w:b/>
          <w:bCs/>
        </w:rPr>
        <w:t xml:space="preserve"> ГРЭС,</w:t>
      </w:r>
      <w:r>
        <w:rPr>
          <w:b/>
          <w:bCs/>
        </w:rPr>
        <w:t xml:space="preserve"> Артемовской ТЭЦ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Lines/>
        <w:keepNext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b/>
          <w:bCs/>
        </w:rPr>
        <w:t xml:space="preserve">Лот № 41044004</w:t>
      </w:r>
      <w:r>
        <w:rPr>
          <w:rFonts w:eastAsia="Calibri"/>
          <w:b/>
          <w:bCs/>
        </w:rPr>
        <w:t xml:space="preserve">-ЭКСП ПРОД-2026-ДГК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  <w:color w:val="ff0000"/>
        </w:rPr>
      </w:pPr>
      <w:r>
        <w:rPr>
          <w:rFonts w:eastAsia="Calibri"/>
          <w:b/>
          <w:bCs/>
          <w:color w:val="ff0000"/>
        </w:rPr>
      </w:r>
      <w:r>
        <w:rPr>
          <w:rFonts w:eastAsia="Calibri"/>
          <w:b/>
          <w:bCs/>
          <w:color w:val="ff0000"/>
        </w:rPr>
      </w:r>
      <w:r>
        <w:rPr>
          <w:rFonts w:eastAsia="Calibri"/>
          <w:b/>
          <w:bCs/>
          <w:color w:val="ff0000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95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8718"/>
        <w:gridCol w:w="665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-859" w:firstLine="8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Обозначения и сокращения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47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6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оказываемым услугам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объемам и срокам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видам и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Перечень и объем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срокам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Таблица 3. Требования по срокам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Таблица </w:t>
            </w: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  <w:t xml:space="preserve">. Требования к качеству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781"/>
        <w:numPr>
          <w:ilvl w:val="0"/>
          <w:numId w:val="0"/>
        </w:numPr>
      </w:pPr>
      <w:r>
        <w:rPr>
          <w:b w:val="0"/>
        </w:rPr>
        <w:t xml:space="preserve">  </w:t>
      </w:r>
      <w:r>
        <w:t xml:space="preserve">3.</w:t>
      </w:r>
      <w:r>
        <w:t xml:space="preserve">        </w:t>
      </w:r>
      <w:r>
        <w:t xml:space="preserve">Требования к документации по ценообразованию на этапе закупки                        10</w:t>
      </w:r>
      <w:r/>
    </w:p>
    <w:p>
      <w:pPr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4.        Требования  к документации по ценообразованию на этапе заключения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keepLines/>
        <w:keepNext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(исполнения) договора  </w:t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keepLines/>
        <w:keepNext/>
        <w:rPr>
          <w:rFonts w:eastAsia="Calibri"/>
          <w:b/>
          <w:bCs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5.       Приложения                                                                                                                            10</w:t>
      </w: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bCs/>
          <w:i/>
          <w:sz w:val="24"/>
          <w:szCs w:val="24"/>
        </w:rPr>
      </w:r>
      <w:r>
        <w:rPr>
          <w:rFonts w:eastAsia="Calibri"/>
          <w:b/>
          <w:bCs/>
          <w:i/>
          <w:sz w:val="24"/>
          <w:szCs w:val="24"/>
        </w:rPr>
      </w:r>
    </w:p>
    <w:p>
      <w:pPr>
        <w:pStyle w:val="783"/>
        <w:ind w:left="432"/>
      </w:pPr>
      <w:r/>
      <w:bookmarkStart w:id="0" w:name="_Toc46743505"/>
      <w:r/>
      <w:bookmarkStart w:id="1" w:name="_Toc54646396"/>
      <w:r>
        <w:t xml:space="preserve">Обозначения и сокращения</w:t>
      </w:r>
      <w:bookmarkEnd w:id="0"/>
      <w:r/>
      <w:bookmarkEnd w:id="1"/>
      <w:r/>
      <w:r/>
    </w:p>
    <w:p>
      <w:pPr>
        <w:rPr>
          <w:rStyle w:val="1024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1024"/>
          <w:b w:val="0"/>
          <w:bCs/>
          <w:iCs/>
          <w:sz w:val="26"/>
          <w:szCs w:val="26"/>
        </w:rPr>
      </w:r>
      <w:r>
        <w:rPr>
          <w:rStyle w:val="1024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jc w:val="center"/>
          <w:trHeight w:val="442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color w:val="ff0000"/>
              </w:rPr>
            </w:pPr>
            <w:r>
              <w:rPr>
                <w:color w:val="000000" w:themeColor="text1"/>
              </w:rPr>
              <w:t xml:space="preserve">СП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24"/>
                <w:b w:val="0"/>
                <w:bCs/>
                <w:i w:val="0"/>
                <w:iCs/>
                <w:color w:val="ff0000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4"/>
                <w:b w:val="0"/>
                <w:bCs/>
                <w:i w:val="0"/>
                <w:iCs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Структурное подразделение</w:t>
            </w:r>
            <w:r>
              <w:rPr>
                <w:rStyle w:val="1024"/>
                <w:b w:val="0"/>
                <w:bCs/>
                <w:i w:val="0"/>
                <w:iCs/>
                <w:color w:val="ff0000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4"/>
                <w:b w:val="0"/>
                <w:bCs/>
                <w:i w:val="0"/>
                <w:iCs/>
                <w:color w:val="ff0000"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24"/>
                <w:b w:val="0"/>
                <w:bCs/>
                <w:i w:val="0"/>
                <w:iCs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24"/>
                <w:b w:val="0"/>
                <w:bCs/>
                <w:i w:val="0"/>
                <w:iCs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Технические требования</w:t>
            </w:r>
            <w:r>
              <w:rPr>
                <w:rStyle w:val="1024"/>
                <w:b w:val="0"/>
                <w:bCs/>
                <w:i w:val="0"/>
                <w:iCs/>
                <w:color w:val="000000" w:themeColor="text1"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1024"/>
                <w:b w:val="0"/>
                <w:bCs/>
                <w:i w:val="0"/>
                <w:iCs/>
                <w:color w:val="000000" w:themeColor="text1"/>
                <w:sz w:val="24"/>
                <w:szCs w:val="24"/>
                <w:shd w:val="clear" w:color="auto" w:fill="ffffff" w:themeFill="background1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3"/>
        <w:ind w:left="0" w:firstLine="0"/>
      </w:pPr>
      <w:r>
        <w:t xml:space="preserve">Наименование оказания услуг</w:t>
      </w:r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rStyle w:val="1024"/>
          <w:b w:val="0"/>
          <w:bCs/>
          <w:sz w:val="24"/>
          <w:szCs w:val="24"/>
        </w:rPr>
      </w:pPr>
      <w:r>
        <w:rPr>
          <w:sz w:val="24"/>
          <w:szCs w:val="24"/>
        </w:rPr>
        <w:t xml:space="preserve">ОКПД2 71.12.40.120 Оказание услуг по поверке и сервисному обслуживанию конвейерных весов Хабаровской ТЭЦ-2, Хабаровской ТЭЦ-3, Комсомольской ТЭЦ-2, Амурской ТЭЦ-1, ТЭЦ в г. Советская Гавань, Партизанской ГРЭС, </w:t>
      </w:r>
      <w:r>
        <w:rPr>
          <w:sz w:val="24"/>
          <w:szCs w:val="24"/>
        </w:rPr>
        <w:t xml:space="preserve">Нерюнгринской</w:t>
      </w:r>
      <w:r>
        <w:rPr>
          <w:sz w:val="24"/>
          <w:szCs w:val="24"/>
        </w:rPr>
        <w:t xml:space="preserve"> ГРЭС, </w:t>
      </w:r>
      <w:r>
        <w:rPr>
          <w:sz w:val="24"/>
          <w:szCs w:val="24"/>
        </w:rPr>
        <w:t xml:space="preserve">Артемовской ТЭЦ </w:t>
      </w:r>
      <w:r>
        <w:rPr>
          <w:rStyle w:val="1024"/>
          <w:b w:val="0"/>
          <w:bCs/>
          <w:sz w:val="24"/>
          <w:szCs w:val="24"/>
        </w:rPr>
      </w:r>
      <w:r>
        <w:rPr>
          <w:rStyle w:val="1024"/>
          <w:b w:val="0"/>
          <w:bCs/>
          <w:sz w:val="24"/>
          <w:szCs w:val="24"/>
        </w:rPr>
      </w:r>
    </w:p>
    <w:p>
      <w:pPr>
        <w:pStyle w:val="783"/>
        <w:ind w:left="431" w:hanging="431"/>
        <w:spacing w:before="240"/>
      </w:pPr>
      <w:r/>
      <w:bookmarkStart w:id="2" w:name="_Toc46743507"/>
      <w:r/>
      <w:bookmarkStart w:id="3" w:name="_Toc54646398"/>
      <w:r>
        <w:t xml:space="preserve">     Цель </w:t>
      </w:r>
      <w:bookmarkEnd w:id="2"/>
      <w:r>
        <w:t xml:space="preserve">оказания услуг</w:t>
      </w:r>
      <w:bookmarkEnd w:id="3"/>
      <w:r/>
      <w:r/>
    </w:p>
    <w:p>
      <w:pPr>
        <w:pStyle w:val="783"/>
        <w:numPr>
          <w:ilvl w:val="0"/>
          <w:numId w:val="0"/>
        </w:numPr>
        <w:ind w:firstLine="567"/>
        <w:jc w:val="both"/>
        <w:rPr>
          <w:b w:val="0"/>
        </w:rPr>
      </w:pPr>
      <w:r/>
      <w:bookmarkStart w:id="4" w:name="_Toc46743508"/>
      <w:r/>
      <w:bookmarkStart w:id="5" w:name="_Toc54646399"/>
      <w:r>
        <w:rPr>
          <w:b w:val="0"/>
        </w:rPr>
        <w:t xml:space="preserve">Плановая поверка</w:t>
      </w:r>
      <w:bookmarkEnd w:id="4"/>
      <w:r/>
      <w:bookmarkEnd w:id="5"/>
      <w:r>
        <w:rPr>
          <w:b w:val="0"/>
        </w:rPr>
        <w:t xml:space="preserve"> и сервисное обслуживание конвейерных весов</w:t>
      </w:r>
      <w:r>
        <w:rPr>
          <w:b w:val="0"/>
        </w:rPr>
      </w:r>
      <w:r>
        <w:rPr>
          <w:b w:val="0"/>
        </w:rPr>
      </w:r>
    </w:p>
    <w:p>
      <w:r/>
      <w:r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1. Перечень объектов заказчика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950"/>
        <w:tblW w:w="10737" w:type="dxa"/>
        <w:tblLayout w:type="fixed"/>
        <w:tblLook w:val="04A0" w:firstRow="1" w:lastRow="0" w:firstColumn="1" w:lastColumn="0" w:noHBand="0" w:noVBand="1"/>
      </w:tblPr>
      <w:tblGrid>
        <w:gridCol w:w="674"/>
        <w:gridCol w:w="2126"/>
        <w:gridCol w:w="2976"/>
        <w:gridCol w:w="3402"/>
        <w:gridCol w:w="1559"/>
      </w:tblGrid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</w:t>
            </w:r>
            <w:r>
              <w:rPr>
                <w:sz w:val="24"/>
                <w:szCs w:val="24"/>
              </w:rPr>
              <w:t xml:space="preserve">Хабаровская</w:t>
            </w:r>
            <w:r>
              <w:rPr>
                <w:sz w:val="24"/>
                <w:szCs w:val="24"/>
              </w:rPr>
              <w:t xml:space="preserve"> ТЭЦ-3», 680025, Хабаровский край, г. Хабаровск, </w:t>
            </w:r>
            <w:r>
              <w:rPr>
                <w:sz w:val="24"/>
                <w:szCs w:val="24"/>
              </w:rPr>
              <w:t xml:space="preserve">Фёдоровское</w:t>
            </w:r>
            <w:r>
              <w:rPr>
                <w:sz w:val="24"/>
                <w:szCs w:val="24"/>
              </w:rPr>
              <w:t xml:space="preserve"> шоссе, 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КУРС-2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, от 50 до 125 кг/м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КУРС-2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, от 50 до 125 кг/м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Комсомольская ТЭЦ-2», 681000, Хабаровский край, г. Комсомольск-на-Амуре, Аллея труда 1, корпус 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Конвейерные</w:t>
            </w:r>
            <w:r>
              <w:rPr>
                <w:sz w:val="24"/>
                <w:szCs w:val="24"/>
              </w:rPr>
              <w:t xml:space="preserve"> весы ВКА-1000</w:t>
            </w:r>
            <w:r>
              <w:rPr>
                <w:sz w:val="24"/>
                <w:szCs w:val="24"/>
              </w:rPr>
              <w:t xml:space="preserve">, </w:t>
            </w:r>
            <w:r/>
          </w:p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от 30 до 250 кг/м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Конвейерные весы ВКА-1000, </w:t>
            </w:r>
            <w:r/>
          </w:p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от 30 до 250 кг/м</w:t>
            </w:r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Амурская</w:t>
            </w:r>
            <w:r>
              <w:rPr>
                <w:sz w:val="24"/>
                <w:szCs w:val="24"/>
              </w:rPr>
              <w:t xml:space="preserve"> ТЭЦ-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», 68</w:t>
            </w:r>
            <w:r>
              <w:rPr>
                <w:sz w:val="24"/>
                <w:szCs w:val="24"/>
              </w:rPr>
              <w:t xml:space="preserve">2640</w:t>
            </w:r>
            <w:r>
              <w:rPr>
                <w:sz w:val="24"/>
                <w:szCs w:val="24"/>
              </w:rPr>
              <w:t xml:space="preserve">, Хабаровский край, г. </w:t>
            </w:r>
            <w:r>
              <w:rPr>
                <w:sz w:val="24"/>
                <w:szCs w:val="24"/>
              </w:rPr>
              <w:t xml:space="preserve">Амурск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Западное шоссе, 10.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Конвейерные весы ВКА-1200 </w:t>
            </w:r>
            <w:r>
              <w:rPr>
                <w:sz w:val="24"/>
                <w:szCs w:val="24"/>
              </w:rPr>
              <w:t xml:space="preserve">Ех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 50 до 400 кг/м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81"/>
        </w:trPr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Конвейерные весы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, от 20 до 1250 кг/м</w:t>
            </w:r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</w:t>
            </w:r>
            <w:r>
              <w:rPr>
                <w:sz w:val="24"/>
                <w:szCs w:val="24"/>
              </w:rPr>
              <w:t xml:space="preserve">ТЭЦ в г. Советская Гавань</w:t>
            </w:r>
            <w:r>
              <w:rPr>
                <w:sz w:val="24"/>
                <w:szCs w:val="24"/>
              </w:rPr>
              <w:t xml:space="preserve">», </w:t>
            </w:r>
            <w:r>
              <w:rPr>
                <w:sz w:val="24"/>
                <w:szCs w:val="24"/>
              </w:rPr>
              <w:t xml:space="preserve">682846, Хабаровский край, Советско-Гаванский район, г. Советская Гавань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 xml:space="preserve">Кишеневская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стр.2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Конвейерные весы ВНК-1400-2, до 7200 т</w:t>
            </w:r>
            <w:r/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ВНК-800-2, до 2300 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ВНК-800-2, до 2300 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811"/>
        </w:trPr>
        <w:tc>
          <w:tcPr>
            <w:tcW w:w="6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pStyle w:val="779"/>
              <w:ind w:right="176" w:firstLine="0"/>
              <w:tabs>
                <w:tab w:val="left" w:pos="6702" w:leader="none"/>
                <w:tab w:val="left" w:pos="6936" w:leader="none"/>
                <w:tab w:val="left" w:pos="7263" w:leader="none"/>
              </w:tabs>
              <w:rPr>
                <w:color w:val="auto"/>
                <w:sz w:val="24"/>
                <w:szCs w:val="24"/>
              </w:rPr>
              <w:suppressLineNumbers w:val="0"/>
            </w:pPr>
            <w:r>
              <w:rPr>
                <w:color w:val="auto"/>
                <w:sz w:val="24"/>
                <w:szCs w:val="24"/>
              </w:rPr>
              <w:t xml:space="preserve">СП «ТЭЦ в г. Советская Гавань», (Котельная п. Майский) 682846, Советско-Гаванский район, р.п. Майский 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  <w:suppressLineNumbers w:val="0"/>
            </w:pPr>
            <w:r>
              <w:rPr>
                <w:color w:val="auto"/>
                <w:sz w:val="24"/>
                <w:szCs w:val="24"/>
              </w:rPr>
              <w:t xml:space="preserve">ул. Каспийская, 12.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Конвейерные весы КЛИМ-500-2, 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2300 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6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Конвейерные весы КЛИМ-500-2, 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2300 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4"/>
                <w:szCs w:val="24"/>
              </w:rPr>
              <w:t xml:space="preserve">Конвейерные весы</w:t>
            </w:r>
            <w:r/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СП </w:t>
            </w:r>
            <w:r>
              <w:rPr>
                <w:sz w:val="24"/>
                <w:szCs w:val="24"/>
              </w:rPr>
              <w:t xml:space="preserve">«Хабаровская ТЭЦ-2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  <w:t xml:space="preserve"> (цех 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котельная </w:t>
            </w:r>
            <w:r>
              <w:rPr>
                <w:sz w:val="24"/>
                <w:szCs w:val="24"/>
              </w:rPr>
              <w:t xml:space="preserve">Ургальская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82030,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Хабаровский край, </w:t>
            </w:r>
            <w:r>
              <w:rPr>
                <w:sz w:val="24"/>
                <w:szCs w:val="24"/>
              </w:rPr>
              <w:t xml:space="preserve">Верхнебуреинский</w:t>
            </w:r>
            <w:r>
              <w:rPr>
                <w:sz w:val="24"/>
                <w:szCs w:val="24"/>
              </w:rPr>
              <w:t xml:space="preserve"> район, п. Чегдомын, ул. </w:t>
            </w:r>
            <w:r>
              <w:rPr>
                <w:sz w:val="24"/>
                <w:szCs w:val="24"/>
              </w:rPr>
              <w:t xml:space="preserve">Нефтебазовская</w:t>
            </w:r>
            <w:r>
              <w:rPr>
                <w:sz w:val="24"/>
                <w:szCs w:val="24"/>
              </w:rPr>
              <w:t xml:space="preserve">, д.15.</w:t>
            </w:r>
            <w:r/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ВКА-650-2, от 12,5 до 100 кг/м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«Партизанская ГРЭС», Приморский край, 692860, </w:t>
            </w:r>
            <w:r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Партизанск</w:t>
            </w:r>
            <w:r>
              <w:rPr>
                <w:sz w:val="24"/>
                <w:szCs w:val="24"/>
              </w:rPr>
              <w:t xml:space="preserve">, ул. Свердлова, 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 (1/3/3) 40/1, от 0 до 250 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 (1/3/3) 40/1, от 0 до 250 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</w:t>
            </w:r>
            <w:r>
              <w:rPr>
                <w:sz w:val="24"/>
                <w:szCs w:val="24"/>
              </w:rPr>
              <w:t xml:space="preserve">Нерюнгринская</w:t>
            </w:r>
            <w:r>
              <w:rPr>
                <w:sz w:val="24"/>
                <w:szCs w:val="24"/>
              </w:rPr>
              <w:t xml:space="preserve"> ГРЭС», Республика Саха (Якутия), 678995, г. Нерюнгри, </w:t>
            </w:r>
            <w:r>
              <w:rPr>
                <w:sz w:val="24"/>
                <w:szCs w:val="24"/>
              </w:rPr>
              <w:t xml:space="preserve">пгт</w:t>
            </w:r>
            <w:r>
              <w:rPr>
                <w:sz w:val="24"/>
                <w:szCs w:val="24"/>
              </w:rPr>
              <w:t xml:space="preserve">. Серебряный Бор.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 (113) 160/1, от 0 до 4500 т/ч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90"/>
        </w:trPr>
        <w:tc>
          <w:tcPr>
            <w:tcW w:w="674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 (113) 160/1, от 0 до 4500 т/ч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Конвейерные весы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restart"/>
            <w:textDirection w:val="lrTb"/>
            <w:noWrap w:val="false"/>
          </w:tcPr>
          <w:p>
            <w:pPr>
              <w:ind w:right="176" w:firstLine="0"/>
              <w:tabs>
                <w:tab w:val="left" w:pos="6702" w:leader="none"/>
                <w:tab w:val="left" w:pos="6936" w:leader="none"/>
                <w:tab w:val="left" w:pos="7263" w:leader="none"/>
              </w:tabs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СП «Артемовская ТЭЦ», 692775, Приморский край, г. Артем, ул. Каширская, 23.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ind w:right="176" w:firstLine="0"/>
              <w:tabs>
                <w:tab w:val="left" w:pos="6702" w:leader="none"/>
                <w:tab w:val="left" w:pos="6936" w:leader="none"/>
                <w:tab w:val="left" w:pos="7263" w:leader="none"/>
              </w:tabs>
              <w:rPr>
                <w:color w:val="auto"/>
                <w:sz w:val="24"/>
                <w:szCs w:val="24"/>
                <w:highlight w:val="none"/>
              </w:rPr>
              <w:suppressLineNumbers w:val="0"/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Конвейерные весы КУРС -1Z, от 20 до 1250 кг/м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tcW w:w="6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ind w:firstLine="0"/>
              <w:rPr>
                <w:color w:val="auto"/>
                <w:sz w:val="24"/>
                <w:szCs w:val="24"/>
                <w:highlight w:val="none"/>
              </w:rPr>
              <w:suppressLineNumbers w:val="0"/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Весы конвейерные ВК-1,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0"/>
              <w:rPr>
                <w:sz w:val="24"/>
                <w:szCs w:val="24"/>
              </w:rPr>
              <w:suppressLineNumbers w:val="0"/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 от 12 до 125 кг/м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780"/>
        <w:numPr>
          <w:ilvl w:val="0"/>
          <w:numId w:val="0"/>
        </w:numPr>
        <w:ind w:left="357"/>
        <w:keepLines/>
        <w:rPr>
          <w:iCs/>
        </w:rPr>
      </w:pPr>
      <w:r/>
      <w:bookmarkStart w:id="6" w:name="_Toc51339693"/>
      <w:r/>
      <w:bookmarkStart w:id="7" w:name="_Toc54646403"/>
      <w:r>
        <w:rPr>
          <w:rStyle w:val="984"/>
        </w:rPr>
        <w:t xml:space="preserve"> </w:t>
      </w:r>
      <w:r>
        <w:rPr>
          <w:iCs/>
        </w:rPr>
      </w:r>
      <w:r>
        <w:rPr>
          <w:iCs/>
        </w:rPr>
      </w:r>
    </w:p>
    <w:p>
      <w:pPr>
        <w:pStyle w:val="780"/>
        <w:ind w:left="357" w:hanging="357"/>
        <w:jc w:val="center"/>
        <w:keepLines/>
        <w:rPr>
          <w:caps/>
        </w:rPr>
      </w:pPr>
      <w:r>
        <w:rPr>
          <w:iCs/>
        </w:rPr>
        <w:t xml:space="preserve">Требования к оказываемым услугам</w:t>
      </w:r>
      <w:bookmarkEnd w:id="6"/>
      <w:r/>
      <w:bookmarkEnd w:id="7"/>
      <w:r>
        <w:rPr>
          <w:caps/>
        </w:rPr>
      </w:r>
      <w:r>
        <w:rPr>
          <w:caps/>
        </w:rPr>
      </w:r>
    </w:p>
    <w:p>
      <w:pPr>
        <w:pStyle w:val="783"/>
        <w:ind w:left="0" w:firstLine="567"/>
      </w:pPr>
      <w:r/>
      <w:bookmarkStart w:id="8" w:name="_Toc54646404"/>
      <w:r>
        <w:t xml:space="preserve">Требования к объемам и срокам оказания услуг</w:t>
      </w:r>
      <w:bookmarkEnd w:id="8"/>
      <w:r/>
      <w:r/>
    </w:p>
    <w:p>
      <w:pPr>
        <w:pStyle w:val="782"/>
        <w:ind w:hanging="657"/>
      </w:pPr>
      <w:r/>
      <w:bookmarkStart w:id="9" w:name="_Toc54646405"/>
      <w:r>
        <w:t xml:space="preserve">Требования к видам и объемам услуг</w:t>
      </w:r>
      <w:bookmarkEnd w:id="9"/>
      <w:r/>
      <w:r/>
    </w:p>
    <w:p>
      <w:pPr>
        <w:pStyle w:val="78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0" w:name="_Toc51339695"/>
      <w:r/>
      <w:bookmarkStart w:id="11" w:name="_Toc54646406"/>
      <w:r>
        <w:rPr>
          <w:sz w:val="24"/>
          <w:szCs w:val="24"/>
        </w:rPr>
        <w:t xml:space="preserve">Таблица 2. Перечень </w:t>
      </w:r>
      <w:bookmarkEnd w:id="10"/>
      <w:r>
        <w:rPr>
          <w:sz w:val="24"/>
          <w:szCs w:val="24"/>
        </w:rPr>
        <w:t xml:space="preserve">и объем оказания услуг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6236"/>
        <w:gridCol w:w="1417"/>
        <w:gridCol w:w="1449"/>
      </w:tblGrid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1.</w:t>
            </w:r>
            <w:r/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СП «</w:t>
            </w:r>
            <w:r>
              <w:rPr>
                <w:b/>
                <w:sz w:val="24"/>
                <w:szCs w:val="24"/>
              </w:rPr>
              <w:t xml:space="preserve">Хабаровская</w:t>
            </w:r>
            <w:r>
              <w:rPr>
                <w:b/>
                <w:sz w:val="24"/>
                <w:szCs w:val="24"/>
              </w:rPr>
              <w:t xml:space="preserve"> ТЭЦ-</w: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  <w:t xml:space="preserve">»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36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rFonts w:eastAsia="Calibri"/>
              </w:rPr>
            </w:pPr>
            <w:r>
              <w:rPr>
                <w:sz w:val="24"/>
                <w:szCs w:val="24"/>
              </w:rPr>
              <w:t xml:space="preserve">Поверка и сервисное обслуживание конвейерных весов КУРС-2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2.</w:t>
            </w:r>
            <w:r/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 «</w:t>
            </w:r>
            <w:r>
              <w:rPr>
                <w:b/>
                <w:bCs/>
                <w:sz w:val="24"/>
                <w:szCs w:val="24"/>
              </w:rPr>
              <w:t xml:space="preserve">Комсомольская</w:t>
            </w:r>
            <w:r>
              <w:rPr>
                <w:b/>
                <w:bCs/>
                <w:sz w:val="24"/>
                <w:szCs w:val="24"/>
              </w:rPr>
              <w:t xml:space="preserve"> ТЭЦ-2</w:t>
            </w:r>
            <w:r>
              <w:rPr>
                <w:b/>
                <w:bCs/>
                <w:sz w:val="24"/>
                <w:szCs w:val="24"/>
              </w:rPr>
              <w:t xml:space="preserve">»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19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Поверка и сервисное обслужива</w:t>
            </w:r>
            <w:r>
              <w:rPr>
                <w:sz w:val="24"/>
                <w:szCs w:val="24"/>
              </w:rPr>
              <w:t xml:space="preserve">ние конвейерных весов ВКА-1000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3.</w:t>
            </w:r>
            <w:r/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СП «</w:t>
            </w:r>
            <w:r>
              <w:rPr>
                <w:b/>
                <w:bCs/>
                <w:sz w:val="24"/>
                <w:szCs w:val="24"/>
              </w:rPr>
              <w:t xml:space="preserve">Амурская</w:t>
            </w:r>
            <w:r>
              <w:rPr>
                <w:b/>
                <w:bCs/>
                <w:sz w:val="24"/>
                <w:szCs w:val="24"/>
              </w:rPr>
              <w:t xml:space="preserve"> ТЭЦ-</w:t>
            </w: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  <w:t xml:space="preserve">»</w:t>
            </w:r>
            <w:r/>
          </w:p>
        </w:tc>
      </w:tr>
      <w:tr>
        <w:tblPrEx/>
        <w:trPr>
          <w:trHeight w:val="417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Поверка и сервисное обслуживание конвейерных весов ВКА-1200 </w:t>
            </w:r>
            <w:r>
              <w:rPr>
                <w:sz w:val="24"/>
                <w:szCs w:val="24"/>
              </w:rPr>
              <w:t xml:space="preserve">Ех</w:t>
            </w:r>
            <w:r/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pPr>
              <w:shd w:val="clear" w:color="auto" w:fill="ffffff"/>
              <w:tabs>
                <w:tab w:val="left" w:pos="709" w:leader="none"/>
                <w:tab w:val="left" w:pos="1560" w:leader="none"/>
              </w:tabs>
            </w:pPr>
            <w:r>
              <w:rPr>
                <w:sz w:val="24"/>
                <w:szCs w:val="24"/>
              </w:rPr>
              <w:t xml:space="preserve">Поверка и сервисное обслуживание конвейерных весов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4.</w:t>
            </w:r>
            <w:r/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СП «</w:t>
            </w:r>
            <w:r>
              <w:rPr>
                <w:b/>
                <w:bCs/>
                <w:sz w:val="24"/>
                <w:szCs w:val="24"/>
              </w:rPr>
              <w:t xml:space="preserve">ТЭЦ в г. Советская Гавань</w:t>
            </w:r>
            <w:r>
              <w:rPr>
                <w:b/>
                <w:bCs/>
                <w:sz w:val="24"/>
                <w:szCs w:val="24"/>
              </w:rPr>
              <w:t xml:space="preserve">»</w:t>
            </w:r>
            <w:r/>
          </w:p>
        </w:tc>
      </w:tr>
      <w:tr>
        <w:tblPrEx/>
        <w:trPr>
          <w:trHeight w:val="300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 </w:t>
            </w:r>
            <w:r>
              <w:rPr>
                <w:sz w:val="24"/>
                <w:szCs w:val="24"/>
              </w:rPr>
              <w:t xml:space="preserve">ВНК-1400-2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</w:t>
            </w:r>
            <w:r>
              <w:rPr>
                <w:sz w:val="24"/>
                <w:szCs w:val="24"/>
              </w:rPr>
              <w:t xml:space="preserve"> ВНК-800-2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7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 </w:t>
            </w:r>
            <w:r>
              <w:rPr>
                <w:sz w:val="24"/>
                <w:szCs w:val="24"/>
              </w:rPr>
              <w:t xml:space="preserve">КЛИМ-500-2 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bookmarkStart w:id="12" w:name="_GoBack"/>
            <w:r/>
            <w:bookmarkEnd w:id="1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5.</w:t>
            </w:r>
            <w:r/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СП «</w:t>
            </w:r>
            <w:r>
              <w:rPr>
                <w:b/>
                <w:bCs/>
                <w:sz w:val="24"/>
                <w:szCs w:val="24"/>
              </w:rPr>
              <w:t xml:space="preserve">Хабаровская</w:t>
            </w:r>
            <w:r>
              <w:rPr>
                <w:b/>
                <w:bCs/>
                <w:sz w:val="24"/>
                <w:szCs w:val="24"/>
              </w:rPr>
              <w:t xml:space="preserve"> ТЭЦ-2</w:t>
            </w:r>
            <w:r>
              <w:rPr>
                <w:b/>
                <w:bCs/>
                <w:sz w:val="24"/>
                <w:szCs w:val="24"/>
              </w:rPr>
              <w:t xml:space="preserve">»</w:t>
            </w:r>
            <w:r/>
          </w:p>
        </w:tc>
      </w:tr>
      <w:tr>
        <w:tblPrEx/>
        <w:trPr>
          <w:trHeight w:val="318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</w:t>
            </w:r>
            <w:r>
              <w:rPr>
                <w:sz w:val="24"/>
                <w:szCs w:val="24"/>
              </w:rPr>
              <w:t xml:space="preserve"> ВКА-650-2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</w:t>
            </w: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6.</w:t>
            </w:r>
            <w:r/>
          </w:p>
        </w:tc>
        <w:tc>
          <w:tcPr>
            <w:gridSpan w:val="3"/>
            <w:tcW w:w="910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 «Партизанская ГРЭС»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 </w:t>
            </w:r>
            <w:r>
              <w:rPr>
                <w:sz w:val="24"/>
                <w:szCs w:val="24"/>
              </w:rPr>
              <w:t xml:space="preserve">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7.</w:t>
            </w:r>
            <w:r/>
          </w:p>
        </w:tc>
        <w:tc>
          <w:tcPr>
            <w:gridSpan w:val="3"/>
            <w:tcW w:w="910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 «</w:t>
            </w:r>
            <w:r>
              <w:rPr>
                <w:b/>
                <w:sz w:val="24"/>
                <w:szCs w:val="24"/>
              </w:rPr>
              <w:t xml:space="preserve">Нерюнгринская</w:t>
            </w:r>
            <w:r>
              <w:rPr>
                <w:b/>
                <w:sz w:val="24"/>
                <w:szCs w:val="24"/>
              </w:rPr>
              <w:t xml:space="preserve"> ГРЭС»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tcW w:w="7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</w:t>
            </w:r>
            <w:r>
              <w:rPr>
                <w:sz w:val="24"/>
                <w:szCs w:val="24"/>
              </w:rPr>
              <w:t xml:space="preserve">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tcW w:w="708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8.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W w:w="910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СП «Артемовская ТЭЦ»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tcW w:w="7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ind w:right="176" w:firstLine="0"/>
              <w:tabs>
                <w:tab w:val="left" w:pos="6702" w:leader="none"/>
                <w:tab w:val="left" w:pos="6936" w:leader="none"/>
                <w:tab w:val="left" w:pos="7263" w:leader="none"/>
              </w:tabs>
              <w:rPr>
                <w:color w:val="auto"/>
                <w:sz w:val="24"/>
                <w:szCs w:val="24"/>
                <w:highlight w:val="none"/>
              </w:rPr>
              <w:suppressLineNumbers w:val="0"/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КУРС -1Z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tcW w:w="7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Поверка и сервисное обслуживание конвейерных весов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ВК-1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4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82"/>
      </w:pPr>
      <w:r/>
      <w:bookmarkStart w:id="13" w:name="_Toc51339696"/>
      <w:r/>
      <w:bookmarkStart w:id="14" w:name="_Toc54646407"/>
      <w:r>
        <w:t xml:space="preserve">Требования </w:t>
      </w:r>
      <w:bookmarkEnd w:id="13"/>
      <w:r>
        <w:t xml:space="preserve">к срокам оказания услуг</w:t>
      </w:r>
      <w:bookmarkEnd w:id="14"/>
      <w:r/>
      <w:r/>
    </w:p>
    <w:p>
      <w:pPr>
        <w:pStyle w:val="78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5" w:name="_Toc50125127"/>
      <w:r/>
      <w:bookmarkStart w:id="16" w:name="_Toc51339697"/>
      <w:r/>
      <w:bookmarkStart w:id="17" w:name="_Toc54646408"/>
      <w:r>
        <w:rPr>
          <w:sz w:val="24"/>
          <w:szCs w:val="24"/>
        </w:rPr>
        <w:t xml:space="preserve">Таблица 3.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5"/>
      <w:r/>
      <w:bookmarkEnd w:id="16"/>
      <w:r/>
      <w:bookmarkEnd w:id="18"/>
      <w:r>
        <w:rPr>
          <w:sz w:val="24"/>
          <w:szCs w:val="24"/>
        </w:rPr>
        <w:t xml:space="preserve">оказания услуг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5245"/>
        <w:gridCol w:w="1984"/>
        <w:gridCol w:w="2018"/>
      </w:tblGrid>
      <w:tr>
        <w:tblPrEx/>
        <w:trPr/>
        <w:tc>
          <w:tcPr>
            <w:shd w:val="clear" w:color="auto" w:fill="auto"/>
            <w:tcW w:w="6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4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022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18" w:type="dxa"/>
            <w:textDirection w:val="lrTb"/>
            <w:noWrap w:val="false"/>
          </w:tcPr>
          <w:p>
            <w:pPr>
              <w:pStyle w:val="1022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62"/>
        </w:trPr>
        <w:tc>
          <w:tcPr>
            <w:shd w:val="clear" w:color="auto" w:fill="auto"/>
            <w:tcW w:w="67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</w:t>
            </w:r>
            <w:r/>
          </w:p>
        </w:tc>
        <w:tc>
          <w:tcPr>
            <w:shd w:val="clear" w:color="auto" w:fill="auto"/>
            <w:tcW w:w="5244" w:type="dxa"/>
            <w:textDirection w:val="lrTb"/>
            <w:noWrap w:val="false"/>
          </w:tcPr>
          <w:p>
            <w:pPr>
              <w:jc w:val="left"/>
              <w:spacing w:before="0" w:beforeAutospacing="0"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 xml:space="preserve">ОКПД2 71.12.40.120 Оказание услуг по поверке и сервисному обслуживанию конвейерных весов Хабаровской ТЭЦ-2, Хабаровской ТЭЦ-3, Комсомольской ТЭЦ-2, Амурской ТЭЦ-1, ТЭЦ в г. Советская Гавань, Партизанской ГРЭС, </w:t>
            </w:r>
            <w:r>
              <w:rPr>
                <w:sz w:val="24"/>
                <w:szCs w:val="24"/>
              </w:rPr>
              <w:t xml:space="preserve">Нерюнг</w:t>
            </w:r>
            <w:r>
              <w:rPr>
                <w:sz w:val="24"/>
                <w:szCs w:val="24"/>
              </w:rPr>
              <w:t xml:space="preserve">ринской</w:t>
            </w:r>
            <w:r>
              <w:rPr>
                <w:sz w:val="24"/>
                <w:szCs w:val="24"/>
              </w:rPr>
              <w:t xml:space="preserve"> ГРЭС,</w:t>
            </w:r>
            <w:r>
              <w:rPr>
                <w:sz w:val="24"/>
                <w:szCs w:val="24"/>
              </w:rPr>
              <w:t xml:space="preserve"> Артемовской ТЭЦ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с</w:t>
            </w:r>
            <w:r>
              <w:rPr>
                <w:rFonts w:eastAsia="Calibri"/>
                <w:bCs/>
                <w:sz w:val="24"/>
                <w:szCs w:val="24"/>
              </w:rPr>
              <w:t xml:space="preserve"> даты заключения договора</w:t>
            </w:r>
            <w:r>
              <w:rPr>
                <w:rFonts w:eastAsia="Calibri"/>
                <w:bCs/>
                <w:sz w:val="24"/>
                <w:szCs w:val="24"/>
              </w:rPr>
              <w:t xml:space="preserve">,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по заявке структурного подразделения, оформленной в свободной форме, с учетом технологического режима станции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20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д</w:t>
            </w:r>
            <w:r>
              <w:rPr>
                <w:rFonts w:eastAsia="Calibri"/>
                <w:bCs/>
                <w:sz w:val="24"/>
                <w:szCs w:val="24"/>
              </w:rPr>
              <w:t xml:space="preserve">о 31 декабря 2026</w:t>
            </w:r>
            <w:r>
              <w:rPr>
                <w:rFonts w:eastAsia="Calibri"/>
                <w:bCs/>
                <w:sz w:val="24"/>
                <w:szCs w:val="24"/>
              </w:rPr>
              <w:t xml:space="preserve"> года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707" w:bottom="992" w:left="851" w:header="680" w:footer="737" w:gutter="0"/>
          <w:cols w:num="1" w:sep="0" w:space="708" w:equalWidth="1"/>
          <w:docGrid w:linePitch="360"/>
          <w:titlePg/>
        </w:sectPr>
        <w:outlineLvl w:val="0"/>
      </w:pPr>
      <w:r/>
      <w:bookmarkStart w:id="19" w:name="_Toc50125131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83"/>
      </w:pPr>
      <w:r/>
      <w:bookmarkStart w:id="20" w:name="_Toc51339698"/>
      <w:r/>
      <w:bookmarkStart w:id="21" w:name="_Toc54646410"/>
      <w:r>
        <w:t xml:space="preserve">Требования к качеству услуг</w:t>
      </w:r>
      <w:r/>
    </w:p>
    <w:p>
      <w:pPr>
        <w:pStyle w:val="78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Требования к </w:t>
      </w:r>
      <w:bookmarkEnd w:id="19"/>
      <w:r/>
      <w:bookmarkEnd w:id="20"/>
      <w:r>
        <w:rPr>
          <w:sz w:val="24"/>
          <w:szCs w:val="24"/>
        </w:rPr>
        <w:t xml:space="preserve">качеству </w:t>
      </w:r>
      <w:bookmarkEnd w:id="21"/>
      <w:r>
        <w:rPr>
          <w:sz w:val="24"/>
          <w:szCs w:val="24"/>
        </w:rPr>
        <w:t xml:space="preserve">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rStyle w:val="1024"/>
          <w:b w:val="0"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услуг: </w:t>
      </w:r>
      <w:r>
        <w:rPr>
          <w:sz w:val="24"/>
          <w:szCs w:val="24"/>
        </w:rPr>
        <w:t xml:space="preserve">«ОКПД2 71.12.40.120 Оказание услуг по поверке и сервисному обслуживанию конвейерных весов Хабаровской ТЭЦ-2, Хабаровской ТЭЦ-3, Комсомольской ТЭЦ-2, Амурской ТЭЦ-1, ТЭЦ в г. Советская Гавань, Партизанской ГРЭС, </w:t>
      </w:r>
      <w:r>
        <w:rPr>
          <w:sz w:val="24"/>
          <w:szCs w:val="24"/>
        </w:rPr>
        <w:t xml:space="preserve">Нерюнгринской</w:t>
      </w:r>
      <w:r>
        <w:rPr>
          <w:sz w:val="24"/>
          <w:szCs w:val="24"/>
        </w:rPr>
        <w:t xml:space="preserve"> ГРЭС, </w:t>
      </w:r>
      <w:r>
        <w:rPr>
          <w:sz w:val="24"/>
          <w:szCs w:val="24"/>
        </w:rPr>
        <w:t xml:space="preserve">Артемовской ТЭЦ» </w:t>
      </w:r>
      <w:r>
        <w:rPr>
          <w:rStyle w:val="1024"/>
          <w:b w:val="0"/>
          <w:bCs/>
          <w:sz w:val="24"/>
          <w:szCs w:val="24"/>
        </w:rPr>
      </w:r>
      <w:r>
        <w:rPr>
          <w:rStyle w:val="1024"/>
          <w:b w:val="0"/>
          <w:bCs/>
          <w:sz w:val="24"/>
          <w:szCs w:val="24"/>
        </w:rPr>
      </w:r>
    </w:p>
    <w:tbl>
      <w:tblPr>
        <w:tblStyle w:val="950"/>
        <w:tblW w:w="148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65"/>
        <w:gridCol w:w="8177"/>
        <w:gridCol w:w="2976"/>
        <w:gridCol w:w="2835"/>
      </w:tblGrid>
      <w:tr>
        <w:tblPrEx/>
        <w:trPr/>
        <w:tc>
          <w:tcPr>
            <w:tcW w:w="865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</w:t>
            </w:r>
            <w:r>
              <w:rPr>
                <w:b/>
                <w:bCs/>
                <w:sz w:val="24"/>
                <w:szCs w:val="24"/>
              </w:rPr>
              <w:t xml:space="preserve">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1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81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17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8177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Оказать услуги в соответствии: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cs="Verdana"/>
                <w:sz w:val="24"/>
                <w:szCs w:val="24"/>
                <w:lang w:eastAsia="en-US"/>
              </w:rPr>
              <w:t xml:space="preserve">Приказ </w:t>
            </w:r>
            <w:r>
              <w:rPr>
                <w:rFonts w:cs="Verdana"/>
                <w:sz w:val="24"/>
                <w:szCs w:val="24"/>
                <w:lang w:eastAsia="en-US"/>
              </w:rPr>
              <w:t xml:space="preserve">Минпромторга</w:t>
            </w:r>
            <w:r>
              <w:rPr>
                <w:rFonts w:cs="Verdana"/>
                <w:sz w:val="24"/>
                <w:szCs w:val="24"/>
                <w:lang w:eastAsia="en-US"/>
              </w:rPr>
              <w:t xml:space="preserve"> России от 31.07.2020 N 2510 "Об утверждении порядка проведения поверки средств измерений, требований к знаку поверки и содержанию свидетельства о поверке";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Федеральный закон "Об обеспечении единства измерений" от 26.06.2008 N 102-ФЗ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firstLine="0"/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Инструкция по монтажу Весов конвейерных КУРС-1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, КУРС-2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Программным обеспечением Автоматизированное рабочее место «Весы конвейерные»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 w:firstLine="0"/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Весы конвейерные КУРС-1Z, КУРС-2</w:t>
            </w:r>
            <w:r>
              <w:rPr>
                <w:sz w:val="24"/>
                <w:szCs w:val="24"/>
                <w:lang w:val="en-US"/>
              </w:rPr>
              <w:t xml:space="preserve">Z</w:t>
            </w:r>
            <w:r>
              <w:rPr>
                <w:sz w:val="24"/>
                <w:szCs w:val="24"/>
              </w:rPr>
              <w:t xml:space="preserve">. Руководство по эксплуатации УФГИ. 404631.003РЭ.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255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- Весы непрерывного действия конвейерные автоматические ВКА-1000ЕХ, ВКА-1200Ех. Руководство по эксплуатации.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-  Весы конвейерные ВК-1. Руководство по эксплуатации.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Весы непрерывного действия конвейерные. Методика поверки.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tabs>
                <w:tab w:val="left" w:pos="2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8.005-2002.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30124-94 Весы и весовые дозаторы непрерывного действия. Общие технические требования.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Приказ Федерального агентства по техническому регулированию и метрологии от 04.07.2022  </w:t>
            </w:r>
            <w:r>
              <w:rPr>
                <w:rFonts w:cs="Verdana"/>
                <w:sz w:val="24"/>
                <w:szCs w:val="24"/>
                <w:lang w:eastAsia="en-US"/>
              </w:rPr>
              <w:t xml:space="preserve">N</w:t>
            </w:r>
            <w:r>
              <w:rPr>
                <w:sz w:val="24"/>
                <w:szCs w:val="24"/>
              </w:rPr>
              <w:t xml:space="preserve"> 1622. «Об утверждении Государственной поверочной схемы для средств измерений массы»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4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 ТУ 4274-001-45627446-08 «Весы конвейерные автоматические непрерывного действия «КЛИМ». Технические условия»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9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 xml:space="preserve">оказанию услуг при поверке</w:t>
            </w:r>
            <w:r>
              <w:rPr>
                <w:b/>
                <w:sz w:val="24"/>
                <w:szCs w:val="24"/>
              </w:rPr>
              <w:t xml:space="preserve"> и сервисном обслуживании конвейерных весов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Руководствоваться</w:t>
            </w:r>
            <w:r>
              <w:rPr>
                <w:sz w:val="24"/>
                <w:szCs w:val="24"/>
              </w:rPr>
              <w:t xml:space="preserve"> требования</w:t>
            </w:r>
            <w:r>
              <w:rPr>
                <w:sz w:val="24"/>
                <w:szCs w:val="24"/>
              </w:rPr>
              <w:t xml:space="preserve">ми</w:t>
            </w:r>
            <w:r>
              <w:rPr>
                <w:sz w:val="24"/>
                <w:szCs w:val="24"/>
              </w:rPr>
              <w:t xml:space="preserve"> заводской докум</w:t>
            </w:r>
            <w:r>
              <w:rPr>
                <w:sz w:val="24"/>
                <w:szCs w:val="24"/>
              </w:rPr>
              <w:t xml:space="preserve">ентации.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396"/>
        </w:trPr>
        <w:tc>
          <w:tcPr>
            <w:tcW w:w="865" w:type="dxa"/>
            <w:vAlign w:val="center"/>
            <w:vMerge w:val="restart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177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</w:t>
            </w:r>
            <w:r>
              <w:rPr>
                <w:sz w:val="24"/>
                <w:szCs w:val="24"/>
              </w:rPr>
              <w:t xml:space="preserve"> на объекте противопожарны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, мероприяти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 по технике безопасности и охране окружающей</w:t>
            </w:r>
            <w:r>
              <w:rPr>
                <w:sz w:val="24"/>
                <w:szCs w:val="24"/>
              </w:rPr>
              <w:t xml:space="preserve"> среды</w:t>
            </w:r>
            <w:r>
              <w:rPr>
                <w:sz w:val="24"/>
                <w:szCs w:val="24"/>
              </w:rPr>
              <w:t xml:space="preserve">, санитарн</w:t>
            </w:r>
            <w:r>
              <w:rPr>
                <w:sz w:val="24"/>
                <w:szCs w:val="24"/>
              </w:rPr>
              <w:t xml:space="preserve">ые нормы, правила охраны труда, а также все безопасные </w:t>
            </w:r>
            <w:r>
              <w:rPr>
                <w:sz w:val="24"/>
                <w:szCs w:val="24"/>
              </w:rPr>
              <w:t xml:space="preserve">требования</w:t>
            </w:r>
            <w:r>
              <w:rPr>
                <w:sz w:val="24"/>
                <w:szCs w:val="24"/>
              </w:rPr>
              <w:t xml:space="preserve"> действующие на объекте.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Соблюдать требования правил внутреннего распорядка, пропускного и </w:t>
            </w:r>
            <w:r>
              <w:rPr>
                <w:sz w:val="24"/>
                <w:szCs w:val="24"/>
              </w:rPr>
              <w:t xml:space="preserve">внутриобъектного</w:t>
            </w:r>
            <w:r>
              <w:rPr>
                <w:sz w:val="24"/>
                <w:szCs w:val="24"/>
              </w:rPr>
              <w:t xml:space="preserve"> режима </w:t>
            </w:r>
            <w:r>
              <w:rPr>
                <w:sz w:val="24"/>
                <w:szCs w:val="24"/>
              </w:rPr>
              <w:t xml:space="preserve">на объекте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508"/>
        </w:trPr>
        <w:tc>
          <w:tcPr>
            <w:tcW w:w="865" w:type="dxa"/>
            <w:vAlign w:val="center"/>
            <w:textDirection w:val="lrTb"/>
            <w:noWrap w:val="false"/>
          </w:tcPr>
          <w:p>
            <w:r>
              <w:rPr>
                <w:bCs/>
                <w:sz w:val="24"/>
                <w:szCs w:val="24"/>
              </w:rPr>
              <w:t xml:space="preserve">1.2.4.</w:t>
            </w:r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Оказывать услуги в соответствии с требованиями п. 1.1.1. настоящего технического требования на оказание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1.2.5.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Провести сервисное обслуживание: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Профилактический осмотр, который включает в себя: внешний осмотр, проверка на наличие повреждений, коррозии, при</w:t>
            </w:r>
            <w:r>
              <w:rPr>
                <w:color w:val="00b0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необходимости чистка деталей, проверка на отсутствие посторонних предметов между подвижными и неподвижными элементами грузоприемного устройства, </w:t>
            </w:r>
            <w:r>
              <w:rPr>
                <w:sz w:val="24"/>
                <w:szCs w:val="24"/>
              </w:rPr>
              <w:t xml:space="preserve">при</w:t>
            </w:r>
            <w:r>
              <w:rPr>
                <w:sz w:val="24"/>
                <w:szCs w:val="24"/>
              </w:rPr>
              <w:t xml:space="preserve"> их наличии-удалить.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работоспособности устройства натяжения ленты, вспомогательных устройств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Оценить исправность роликов и </w:t>
            </w:r>
            <w:r>
              <w:rPr>
                <w:sz w:val="24"/>
                <w:szCs w:val="24"/>
              </w:rPr>
              <w:t xml:space="preserve">роликоопор</w:t>
            </w:r>
            <w:r>
              <w:rPr>
                <w:sz w:val="24"/>
                <w:szCs w:val="24"/>
              </w:rPr>
              <w:t xml:space="preserve"> конвейера, при необходимости неисправные элементы заменить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биения образующих роликов на измерительном участке конвейера (3 </w:t>
            </w:r>
            <w:r>
              <w:rPr>
                <w:sz w:val="24"/>
                <w:szCs w:val="24"/>
              </w:rPr>
              <w:t xml:space="preserve">роликоопоры</w:t>
            </w:r>
            <w:r>
              <w:rPr>
                <w:sz w:val="24"/>
                <w:szCs w:val="24"/>
              </w:rPr>
              <w:t xml:space="preserve"> до и 3 </w:t>
            </w:r>
            <w:r>
              <w:rPr>
                <w:sz w:val="24"/>
                <w:szCs w:val="24"/>
              </w:rPr>
              <w:t xml:space="preserve">роликоопоры</w:t>
            </w:r>
            <w:r>
              <w:rPr>
                <w:sz w:val="24"/>
                <w:szCs w:val="24"/>
              </w:rPr>
              <w:t xml:space="preserve"> после грузоприемного устройства (ГПУ), а также </w:t>
            </w:r>
            <w:r>
              <w:rPr>
                <w:sz w:val="24"/>
                <w:szCs w:val="24"/>
              </w:rPr>
              <w:t xml:space="preserve">роликоопоры</w:t>
            </w:r>
            <w:r>
              <w:rPr>
                <w:sz w:val="24"/>
                <w:szCs w:val="24"/>
              </w:rPr>
              <w:t xml:space="preserve"> установленные на ГПУ.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биении роликов </w:t>
            </w:r>
            <w:r>
              <w:rPr>
                <w:sz w:val="24"/>
                <w:szCs w:val="24"/>
              </w:rPr>
              <w:t xml:space="preserve">роликоопор</w:t>
            </w:r>
            <w:r>
              <w:rPr>
                <w:sz w:val="24"/>
                <w:szCs w:val="24"/>
              </w:rPr>
              <w:t xml:space="preserve"> ГПУ более 0,1 мм, а остальных – более 0,2 мм – их заменить)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Добавить смазку в подшипниках </w:t>
            </w:r>
            <w:r>
              <w:rPr>
                <w:sz w:val="24"/>
                <w:szCs w:val="24"/>
              </w:rPr>
              <w:t xml:space="preserve">роликоопор</w:t>
            </w:r>
            <w:r>
              <w:rPr>
                <w:sz w:val="24"/>
                <w:szCs w:val="24"/>
              </w:rPr>
              <w:t xml:space="preserve"> ГПУ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технического состояния и о</w:t>
            </w:r>
            <w:r>
              <w:rPr>
                <w:sz w:val="24"/>
                <w:szCs w:val="24"/>
              </w:rPr>
              <w:t xml:space="preserve">бслуживание: весовых блоков, основания весов, технологических зазоров, диагностика работы вторичного электронного оборудования, определение стабильности показаний весов, проверка связи с аппаратно-программным комплексом, комплектующей аппаратуры и приборов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программного обеспечения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Проверка соответствия требованиям и нормам условий эксплуатации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Подготовить весы к поверке и провести поверку: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перед поверкой конвейерные весы настраиваются, калибруются, проверяются основные метрологические характеристики и после сдаются в поверку.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2"/>
        </w:trPr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Квалификация персонала должна соответствовать требованиям руководств по эксплуатации, паспортов на конвейерные весы, в соответствии с которой следует оказывать услуги по поверке</w:t>
            </w:r>
            <w:r>
              <w:rPr>
                <w:sz w:val="24"/>
                <w:szCs w:val="24"/>
              </w:rPr>
              <w:t xml:space="preserve"> и сервисному обслуживанию.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При проведении поверки</w:t>
            </w:r>
            <w:r>
              <w:rPr>
                <w:color w:val="auto"/>
                <w:sz w:val="24"/>
                <w:szCs w:val="24"/>
              </w:rPr>
              <w:t xml:space="preserve"> и сервисного обслуживания</w:t>
            </w:r>
            <w:r>
              <w:rPr>
                <w:color w:val="auto"/>
                <w:sz w:val="24"/>
                <w:szCs w:val="24"/>
              </w:rPr>
              <w:t xml:space="preserve"> Исполнитель обязан использовать оборудование, соответствующее требованиям нормативных документов в области обеспечения единства измерений.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ервисное обслуживание</w:t>
            </w:r>
            <w:r>
              <w:rPr>
                <w:sz w:val="24"/>
                <w:szCs w:val="24"/>
              </w:rPr>
              <w:t xml:space="preserve"> должны проводить квалифицированные специалисты,</w:t>
            </w:r>
            <w:r>
              <w:rPr>
                <w:sz w:val="24"/>
                <w:szCs w:val="24"/>
              </w:rPr>
              <w:t xml:space="preserve"> имеющие опыт в данном направлении, прошедшие повышение квалификации, обучение с наличием подтверждающих документов.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Поверку  должн</w:t>
            </w:r>
            <w:r>
              <w:rPr>
                <w:sz w:val="24"/>
                <w:szCs w:val="24"/>
              </w:rPr>
              <w:t xml:space="preserve">ы выполнять аккредитованные в установленном порядке в области обеспечения единства измерений юридические лица и индивидуальные предприниматели, в том числе государственные научные метрологические институты и государственные региональные центры метрологии.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vMerge w:val="restart"/>
            <w:textDirection w:val="lrTb"/>
            <w:noWrap w:val="false"/>
          </w:tcPr>
          <w:p>
            <w:pPr>
              <w:pStyle w:val="993"/>
              <w:numPr>
                <w:ilvl w:val="2"/>
                <w:numId w:val="8"/>
              </w:numPr>
              <w:ind w:hanging="1199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sr-Cyrl-CS"/>
              </w:rPr>
              <w:t xml:space="preserve">Исполнитель </w:t>
            </w:r>
            <w:r>
              <w:rPr>
                <w:sz w:val="24"/>
                <w:szCs w:val="24"/>
                <w:lang w:val="sr-Cyrl-CS"/>
              </w:rPr>
              <w:t xml:space="preserve">должен иметь </w:t>
            </w:r>
            <w:r>
              <w:rPr>
                <w:sz w:val="24"/>
                <w:szCs w:val="24"/>
                <w:lang w:eastAsia="en-US"/>
              </w:rPr>
              <w:t xml:space="preserve">комплект эталонов единиц величин и средств измерений: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ги</w:t>
            </w:r>
            <w:r>
              <w:rPr>
                <w:sz w:val="24"/>
                <w:szCs w:val="24"/>
                <w:lang w:eastAsia="en-US"/>
              </w:rPr>
              <w:t xml:space="preserve">ри класса точности М I (эталон 4 разряда);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весы неавтоматического действия с диапазоном измерений до 3т и относительной погрешностью не более 0,3% (эталон 5 разряда);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sz w:val="24"/>
                <w:szCs w:val="24"/>
                <w:highlight w:val="non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другие материально-технические ресурсы, позволяющие проводить сервисное обслуживание оборудования в полном объеме.</w:t>
            </w:r>
            <w:r>
              <w:rPr>
                <w:sz w:val="24"/>
                <w:szCs w:val="24"/>
                <w:highlight w:val="none"/>
                <w:lang w:eastAsia="en-US"/>
              </w:rPr>
            </w:r>
            <w:r>
              <w:rPr>
                <w:sz w:val="24"/>
                <w:szCs w:val="24"/>
                <w:highlight w:val="none"/>
                <w:lang w:eastAsia="en-US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0"/>
                <w:numId w:val="8"/>
              </w:numPr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оказания услуг и оформлению документации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оказания услуг и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ind w:left="25"/>
              <w:spacing w:before="60" w:after="60"/>
            </w:pPr>
            <w:r>
              <w:t xml:space="preserve">2.1.1</w:t>
            </w:r>
            <w:r/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результаты оказания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sz w:val="24"/>
                <w:szCs w:val="24"/>
              </w:rPr>
              <w:t xml:space="preserve"> в соответствии с </w:t>
            </w:r>
            <w:r>
              <w:rPr>
                <w:sz w:val="24"/>
                <w:szCs w:val="24"/>
              </w:rPr>
              <w:t xml:space="preserve">нормативно-технической документацией приведенной в</w:t>
            </w:r>
            <w:r>
              <w:rPr>
                <w:sz w:val="24"/>
                <w:szCs w:val="24"/>
              </w:rPr>
              <w:t xml:space="preserve"> п. 1.1.1. настоящего технического требования на оказание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287"/>
        </w:trPr>
        <w:tc>
          <w:tcPr>
            <w:tcW w:w="865" w:type="dxa"/>
            <w:vAlign w:val="center"/>
            <w:textDirection w:val="lrTb"/>
            <w:noWrap w:val="false"/>
          </w:tcPr>
          <w:p>
            <w:pPr>
              <w:pStyle w:val="993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8177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оказания услуг</w:t>
            </w:r>
            <w:r>
              <w:rPr>
                <w:rStyle w:val="1024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65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177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Сведения о результатах поверки средств измерений в целях подтверждения поверки должны быть переданы в Федеральный информационный фонд по обеспечению единства измерений в соответствии с порядком создания и </w:t>
            </w:r>
            <w:r>
              <w:rPr>
                <w:bCs/>
                <w:sz w:val="24"/>
                <w:szCs w:val="24"/>
              </w:rPr>
              <w:t xml:space="preserve">ведения Федерального информационного фонда по обеспечению единства измерений, передачи сведений в него и внесения изменений в данные сведения, предоставления содержащихся в нем документов и сведений, предусмотренным частью 3 статьи 20 Федерального закона N</w:t>
            </w:r>
            <w:r>
              <w:rPr>
                <w:bCs/>
                <w:sz w:val="24"/>
                <w:szCs w:val="24"/>
              </w:rPr>
              <w:t xml:space="preserve"> 102-ФЗ, аккредитованным на поверку лицом</w:t>
            </w:r>
            <w:r>
              <w:rPr>
                <w:bCs/>
                <w:sz w:val="24"/>
                <w:szCs w:val="24"/>
              </w:rPr>
              <w:t xml:space="preserve">, проводившем поверку, в сроки, согласованные с лицом, представляющим средства измерений в поверку, но не превышающие 40 рабочих дней </w:t>
            </w:r>
            <w:r>
              <w:rPr>
                <w:bCs/>
                <w:sz w:val="24"/>
                <w:szCs w:val="24"/>
              </w:rPr>
              <w:t xml:space="preserve">с даты проведения</w:t>
            </w:r>
            <w:r>
              <w:rPr>
                <w:bCs/>
                <w:sz w:val="24"/>
                <w:szCs w:val="24"/>
              </w:rPr>
              <w:t xml:space="preserve"> поверки средств измерений.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В случае положительных результатов</w:t>
            </w:r>
            <w:r>
              <w:rPr>
                <w:sz w:val="24"/>
                <w:szCs w:val="24"/>
                <w:highlight w:val="none"/>
              </w:rPr>
              <w:t xml:space="preserve"> поверки (подтверждено соответствие средств измерений метрологическим требованиям) наносится знак поверки на средства измерений и выдается свидетельства о поверке, оформленные в соответствии с требованиями к содержанию свидетельства о поверке; в паспорт (ф</w:t>
            </w:r>
            <w:r>
              <w:rPr>
                <w:sz w:val="24"/>
                <w:szCs w:val="24"/>
                <w:highlight w:val="none"/>
              </w:rPr>
              <w:t xml:space="preserve">ормуляр) конвейерных весов вносится запись о проведенной поверке или в случае отрицательных результатов поверки  (не подтверждено соответствие средств измерений метрологическим требованиям) выдается извещение о непригодности к применению конвейерных весов.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3"/>
              <w:ind w:left="0"/>
              <w:shd w:val="clear" w:color="auto" w:fill="ffffff"/>
              <w:tabs>
                <w:tab w:val="left" w:pos="284" w:leader="none"/>
              </w:tabs>
              <w:rPr>
                <w:b/>
              </w:rPr>
            </w:pPr>
            <w:r>
              <w:rPr>
                <w:rFonts w:eastAsia="Times New Roman"/>
                <w:bCs/>
              </w:rPr>
              <w:t xml:space="preserve">По окончанию оказания услуг Исполнитель предоставляет Заказчику подписанные со своей стороны в 2 (двух) экземплярах Акты оказанных услуг и результаты поверки конвейерных весов СП.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</w:tbl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93"/>
        <w:numPr>
          <w:ilvl w:val="0"/>
          <w:numId w:val="8"/>
        </w:numPr>
        <w:keepLines/>
        <w:keepNext/>
        <w:spacing w:before="120" w:after="60"/>
        <w:rPr>
          <w:b/>
        </w:rPr>
        <w:outlineLvl w:val="0"/>
      </w:pPr>
      <w:r/>
      <w:bookmarkStart w:id="22" w:name="_Toc53393312"/>
      <w:r/>
      <w:bookmarkStart w:id="23" w:name="_Toc53395937"/>
      <w:r/>
      <w:bookmarkStart w:id="24" w:name="_Toc54643710"/>
      <w:r>
        <w:rPr>
          <w:b/>
        </w:rPr>
        <w:t xml:space="preserve">Требования к документации по ценообразованию</w:t>
      </w:r>
      <w:bookmarkEnd w:id="22"/>
      <w:r/>
      <w:bookmarkEnd w:id="23"/>
      <w:r>
        <w:rPr>
          <w:b/>
        </w:rPr>
        <w:t xml:space="preserve"> на этапе закупки</w:t>
      </w:r>
      <w:bookmarkEnd w:id="24"/>
      <w:r>
        <w:rPr>
          <w:b/>
        </w:rPr>
      </w:r>
      <w:r>
        <w:rPr>
          <w:b/>
        </w:rPr>
      </w:r>
    </w:p>
    <w:p>
      <w:pPr>
        <w:numPr>
          <w:ilvl w:val="1"/>
          <w:numId w:val="8"/>
        </w:numPr>
        <w:jc w:val="both"/>
        <w:keepNext/>
        <w:spacing w:before="120" w:after="60"/>
        <w:rPr>
          <w:rFonts w:eastAsia="Calibri"/>
          <w:bCs/>
          <w:sz w:val="24"/>
          <w:szCs w:val="24"/>
        </w:rPr>
        <w:outlineLvl w:val="3"/>
      </w:pPr>
      <w:r>
        <w:rPr>
          <w:rFonts w:eastAsia="Calibri"/>
          <w:bCs/>
          <w:sz w:val="24"/>
          <w:szCs w:val="24"/>
        </w:rPr>
        <w:t xml:space="preserve">В обоснование стоимости заявки Участник должен предоставить «Коммерческое предложение» по форме, приведенной в Документации о закупке. 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numPr>
          <w:ilvl w:val="1"/>
          <w:numId w:val="8"/>
        </w:numPr>
        <w:jc w:val="both"/>
        <w:keepNext/>
        <w:spacing w:before="120" w:after="60"/>
        <w:rPr>
          <w:rFonts w:eastAsia="Calibri"/>
          <w:bCs/>
          <w:sz w:val="24"/>
          <w:szCs w:val="24"/>
        </w:rPr>
        <w:outlineLvl w:val="3"/>
      </w:pPr>
      <w:r>
        <w:rPr>
          <w:rFonts w:eastAsia="Calibri"/>
          <w:bCs/>
          <w:sz w:val="24"/>
          <w:szCs w:val="24"/>
        </w:rPr>
        <w:t xml:space="preserve">Дополнительные документы по ценообразованию (сметная документация) в состав заявки Участника не включаются».</w:t>
      </w:r>
      <w:r>
        <w:rPr>
          <w:rFonts w:eastAsia="Calibri"/>
          <w:bCs/>
          <w:sz w:val="24"/>
          <w:szCs w:val="24"/>
        </w:rPr>
      </w:r>
      <w:r>
        <w:rPr>
          <w:rFonts w:eastAsia="Calibri"/>
          <w:bCs/>
          <w:sz w:val="24"/>
          <w:szCs w:val="24"/>
        </w:rPr>
      </w:r>
    </w:p>
    <w:p>
      <w:pPr>
        <w:ind w:firstLine="42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357" w:hanging="357"/>
        <w:keepLines/>
        <w:keepNext/>
        <w:spacing w:before="120" w:after="60"/>
        <w:rPr>
          <w:rFonts w:eastAsia="Calibri"/>
          <w:b/>
          <w:sz w:val="24"/>
          <w:szCs w:val="24"/>
        </w:rPr>
        <w:outlineLvl w:val="0"/>
      </w:pPr>
      <w:r/>
      <w:bookmarkStart w:id="25" w:name="_Toc54281228"/>
      <w:r/>
      <w:bookmarkStart w:id="26" w:name="_Toc54643711"/>
      <w:r>
        <w:rPr>
          <w:rFonts w:eastAsia="Calibri"/>
          <w:b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25"/>
      <w:r/>
      <w:bookmarkEnd w:id="26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сметной документации/калькуляции осуществляется при заключении и исполнении договора в соответствии со следующими требованиями: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</w:t>
      </w:r>
      <w:r>
        <w:rPr>
          <w:color w:val="000000" w:themeColor="text1"/>
          <w:sz w:val="24"/>
          <w:szCs w:val="24"/>
        </w:rPr>
        <w:t xml:space="preserve">а стадии заключения Договора Исполнитель предоставляет </w:t>
      </w:r>
      <w:r>
        <w:rPr>
          <w:color w:val="000000" w:themeColor="text1"/>
          <w:sz w:val="24"/>
          <w:szCs w:val="24"/>
        </w:rPr>
        <w:t xml:space="preserve">Стоимость оказания услуг</w:t>
      </w:r>
      <w:r>
        <w:rPr>
          <w:color w:val="000000" w:themeColor="text1"/>
          <w:sz w:val="24"/>
          <w:szCs w:val="24"/>
        </w:rPr>
        <w:t xml:space="preserve"> по </w:t>
      </w:r>
      <w:r>
        <w:rPr>
          <w:color w:val="000000" w:themeColor="text1"/>
          <w:sz w:val="24"/>
          <w:szCs w:val="24"/>
        </w:rPr>
        <w:t xml:space="preserve">форме приложения к ТТ</w:t>
      </w:r>
      <w:r>
        <w:rPr>
          <w:color w:val="ff0000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 xml:space="preserve">При формировании стоимости услуг – стоимость должна быть подтверждена подробным и обоснованным расчётом, учитывающим весь объём услуг, все предполагаемые затраты исполнителя, обязательные платежи, стоимость всех сопутствующих услуг. В</w:t>
      </w:r>
      <w:r>
        <w:rPr>
          <w:sz w:val="24"/>
          <w:szCs w:val="24"/>
        </w:rPr>
        <w:t xml:space="preserve"> случае учета калькуляции затрат Соисполнителей на стадии расчетов данные затраты подлежат подтверждению отчетными документами (Договор субподряда с прилагаемыми расчетами)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- в</w:t>
      </w:r>
      <w:r>
        <w:rPr>
          <w:sz w:val="24"/>
          <w:szCs w:val="24"/>
        </w:rPr>
        <w:t xml:space="preserve"> случае учета затрат на командировочные расходы исполнителя стоимость составляющих должна быть расшифрована по статьям затрат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проезд, проживание, суточные), при этом размер суточных учитывать не более 500 </w:t>
      </w:r>
      <w:r>
        <w:rPr>
          <w:sz w:val="24"/>
          <w:szCs w:val="24"/>
        </w:rPr>
        <w:t xml:space="preserve">руб</w:t>
      </w:r>
      <w:r>
        <w:rPr>
          <w:sz w:val="24"/>
          <w:szCs w:val="24"/>
        </w:rPr>
        <w:t xml:space="preserve">/сутки.</w:t>
      </w:r>
      <w:r>
        <w:rPr>
          <w:sz w:val="24"/>
          <w:szCs w:val="24"/>
        </w:rPr>
        <w:t xml:space="preserve"> Размер на проживание для рабочих специалистов составляет не более 550 (пятисот пятидесяти) руб/сутки, для инженерно-технических специалистов не более 5000 (пяти тысяч) руб/сутки.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keepLines/>
        <w:keepNext/>
        <w:spacing w:before="120" w:after="60"/>
        <w:rPr>
          <w:rFonts w:eastAsia="Calibri"/>
          <w:iCs/>
          <w:caps/>
          <w:sz w:val="24"/>
          <w:szCs w:val="24"/>
        </w:rPr>
        <w:outlineLvl w:val="0"/>
      </w:pPr>
      <w:r>
        <w:rPr>
          <w:rFonts w:eastAsia="Calibri"/>
          <w:sz w:val="24"/>
          <w:szCs w:val="24"/>
        </w:rPr>
        <w:t xml:space="preserve"> З</w:t>
      </w:r>
      <w:r>
        <w:rPr>
          <w:rFonts w:eastAsia="Calibri"/>
          <w:sz w:val="24"/>
          <w:szCs w:val="24"/>
        </w:rPr>
        <w:t xml:space="preserve">аказчик имеет право в период действия договора запросить у Исполнителя копии первичных документов, платёжных поручений, реестры и т.д. для проверки соответствия суммы командировочных расходов фактическим затратам в пределах учтенной в калькуляции величины.</w:t>
      </w:r>
      <w:r>
        <w:rPr>
          <w:rFonts w:eastAsia="Calibri"/>
          <w:iCs/>
          <w:caps/>
          <w:sz w:val="24"/>
          <w:szCs w:val="24"/>
        </w:rPr>
      </w:r>
      <w:r>
        <w:rPr>
          <w:rFonts w:eastAsia="Calibri"/>
          <w:iCs/>
          <w:caps/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  <w:highlight w:val="none"/>
        </w:rPr>
      </w:pPr>
      <w:r>
        <w:rPr>
          <w:b/>
          <w:bCs/>
          <w:color w:val="000000" w:themeColor="text1"/>
          <w:sz w:val="24"/>
          <w:szCs w:val="24"/>
        </w:rPr>
        <w:t xml:space="preserve">5.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</w:t>
      </w:r>
      <w:r>
        <w:rPr>
          <w:b/>
          <w:bCs/>
          <w:color w:val="000000" w:themeColor="text1"/>
          <w:sz w:val="24"/>
          <w:szCs w:val="24"/>
        </w:rPr>
        <w:t xml:space="preserve">Приложения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     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after="120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      Приложение № 1: Форма калькуляции оказанных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>
        <w:rPr>
          <w:bCs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rPr>
        <w:rStyle w:val="960"/>
      </w:rPr>
      <w:framePr w:wrap="around" w:vAnchor="text" w:hAnchor="margin" w:xAlign="center" w:y="1"/>
    </w:pPr>
    <w:r>
      <w:rPr>
        <w:rStyle w:val="960"/>
      </w:rPr>
      <w:fldChar w:fldCharType="begin"/>
    </w:r>
    <w:r>
      <w:rPr>
        <w:rStyle w:val="960"/>
      </w:rPr>
      <w:instrText xml:space="preserve">PAGE  </w:instrText>
    </w:r>
    <w:r>
      <w:rPr>
        <w:rStyle w:val="960"/>
      </w:rPr>
      <w:fldChar w:fldCharType="separate"/>
    </w:r>
    <w:r>
      <w:rPr>
        <w:rStyle w:val="960"/>
      </w:rPr>
      <w:t xml:space="preserve">6</w:t>
    </w:r>
    <w:r>
      <w:rPr>
        <w:rStyle w:val="960"/>
      </w:rPr>
      <w:fldChar w:fldCharType="end"/>
    </w:r>
    <w:r>
      <w:rPr>
        <w:rStyle w:val="960"/>
      </w:rPr>
    </w:r>
    <w:r>
      <w:rPr>
        <w:rStyle w:val="960"/>
      </w:rPr>
    </w:r>
  </w:p>
  <w:p>
    <w:pPr>
      <w:pStyle w:val="94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39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80" w:hanging="555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78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8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8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4"/>
      <w:numFmt w:val="bullet"/>
      <w:pStyle w:val="1008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0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0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536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styleLink w:val="1021"/>
    <w:lvl w:ilvl="0">
      <w:start w:val="1"/>
      <w:numFmt w:val="decimal"/>
      <w:pStyle w:val="1021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pStyle w:val="94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5"/>
      </w:rPr>
    </w:lvl>
    <w:lvl w:ilvl="1">
      <w:start w:val="3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27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28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1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29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0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pStyle w:val="780"/>
      <w:isLgl w:val="false"/>
      <w:suff w:val="tab"/>
      <w:lvlText w:val="%1."/>
      <w:lvlJc w:val="left"/>
      <w:pPr>
        <w:ind w:left="7023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83"/>
      <w:isLgl w:val="false"/>
      <w:suff w:val="tab"/>
      <w:lvlText w:val="%1.%2."/>
      <w:lvlJc w:val="left"/>
      <w:pPr>
        <w:ind w:left="5536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82"/>
      <w:isLgl w:val="false"/>
      <w:suff w:val="tab"/>
      <w:lvlText w:val="%1.%2.%3."/>
      <w:lvlJc w:val="left"/>
      <w:pPr>
        <w:ind w:left="3907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styleLink w:val="1017"/>
    <w:lvl w:ilvl="0">
      <w:start w:val="3"/>
      <w:numFmt w:val="decimal"/>
      <w:pStyle w:val="1017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1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17"/>
  </w:num>
  <w:num w:numId="2">
    <w:abstractNumId w:val="8"/>
  </w:num>
  <w:num w:numId="3">
    <w:abstractNumId w:val="25"/>
  </w:num>
  <w:num w:numId="4">
    <w:abstractNumId w:val="23"/>
  </w:num>
  <w:num w:numId="5">
    <w:abstractNumId w:val="15"/>
  </w:num>
  <w:num w:numId="6">
    <w:abstractNumId w:val="19"/>
  </w:num>
  <w:num w:numId="7">
    <w:abstractNumId w:val="0"/>
  </w:num>
  <w:num w:numId="8">
    <w:abstractNumId w:val="13"/>
  </w:num>
  <w:num w:numId="9">
    <w:abstractNumId w:val="2"/>
  </w:num>
  <w:num w:numId="10">
    <w:abstractNumId w:val="16"/>
  </w:num>
  <w:num w:numId="11">
    <w:abstractNumId w:val="20"/>
  </w:num>
  <w:num w:numId="12">
    <w:abstractNumId w:val="1"/>
  </w:num>
  <w:num w:numId="13">
    <w:abstractNumId w:val="7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4"/>
  </w:num>
  <w:num w:numId="26">
    <w:abstractNumId w:val="18"/>
  </w:num>
  <w:num w:numId="27">
    <w:abstractNumId w:val="27"/>
  </w:num>
  <w:num w:numId="28">
    <w:abstractNumId w:val="2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3"/>
  </w:num>
  <w:num w:numId="32">
    <w:abstractNumId w:val="23"/>
  </w:num>
  <w:num w:numId="33">
    <w:abstractNumId w:val="28"/>
  </w:num>
  <w:num w:numId="34">
    <w:abstractNumId w:val="5"/>
  </w:num>
  <w:num w:numId="35">
    <w:abstractNumId w:val="12"/>
  </w:num>
  <w:num w:numId="36">
    <w:abstractNumId w:val="10"/>
  </w:num>
  <w:num w:numId="37">
    <w:abstractNumId w:val="3"/>
  </w:num>
  <w:num w:numId="38">
    <w:abstractNumId w:val="23"/>
  </w:num>
  <w:num w:numId="39">
    <w:abstractNumId w:val="22"/>
  </w:num>
  <w:num w:numId="40">
    <w:abstractNumId w:val="9"/>
  </w:num>
  <w:num w:numId="41">
    <w:abstractNumId w:val="11"/>
  </w:num>
  <w:num w:numId="42">
    <w:abstractNumId w:val="14"/>
  </w:num>
  <w:num w:numId="43">
    <w:abstractNumId w:val="26"/>
  </w:num>
  <w:num w:numId="44">
    <w:abstractNumId w:val="6"/>
  </w:num>
  <w:num w:numId="45">
    <w:abstractNumId w:val="29"/>
  </w:num>
  <w:num w:numId="46">
    <w:abstractNumId w:val="30"/>
  </w:num>
  <w:num w:numId="47">
    <w:abstractNumId w:val="31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9" w:default="1">
    <w:name w:val="Normal"/>
    <w:qFormat/>
    <w:rPr>
      <w:sz w:val="28"/>
      <w:szCs w:val="28"/>
    </w:rPr>
  </w:style>
  <w:style w:type="paragraph" w:styleId="780">
    <w:name w:val="Heading 1"/>
    <w:basedOn w:val="782"/>
    <w:next w:val="779"/>
    <w:link w:val="980"/>
    <w:qFormat/>
    <w:pPr>
      <w:numPr>
        <w:ilvl w:val="0"/>
      </w:numPr>
      <w:outlineLvl w:val="0"/>
    </w:pPr>
    <w:rPr>
      <w:sz w:val="28"/>
      <w:szCs w:val="28"/>
    </w:rPr>
  </w:style>
  <w:style w:type="paragraph" w:styleId="781">
    <w:name w:val="Heading 2"/>
    <w:basedOn w:val="783"/>
    <w:next w:val="779"/>
    <w:link w:val="982"/>
    <w:qFormat/>
    <w:pPr>
      <w:outlineLvl w:val="1"/>
    </w:pPr>
  </w:style>
  <w:style w:type="paragraph" w:styleId="782">
    <w:name w:val="Heading 3"/>
    <w:basedOn w:val="779"/>
    <w:next w:val="779"/>
    <w:link w:val="983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83">
    <w:name w:val="Heading 4"/>
    <w:basedOn w:val="782"/>
    <w:next w:val="779"/>
    <w:link w:val="984"/>
    <w:qFormat/>
    <w:pPr>
      <w:numPr>
        <w:ilvl w:val="1"/>
      </w:numPr>
      <w:outlineLvl w:val="3"/>
    </w:pPr>
    <w:rPr>
      <w:bCs/>
    </w:rPr>
  </w:style>
  <w:style w:type="paragraph" w:styleId="784">
    <w:name w:val="Heading 5"/>
    <w:basedOn w:val="779"/>
    <w:next w:val="779"/>
    <w:link w:val="98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85">
    <w:name w:val="Heading 6"/>
    <w:basedOn w:val="779"/>
    <w:next w:val="779"/>
    <w:link w:val="97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86">
    <w:name w:val="Heading 7"/>
    <w:basedOn w:val="779"/>
    <w:next w:val="779"/>
    <w:link w:val="978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87">
    <w:name w:val="Heading 8"/>
    <w:basedOn w:val="779"/>
    <w:next w:val="779"/>
    <w:link w:val="979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88">
    <w:name w:val="Heading 9"/>
    <w:basedOn w:val="779"/>
    <w:next w:val="779"/>
    <w:link w:val="98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89" w:default="1">
    <w:name w:val="Default Paragraph Font"/>
    <w:uiPriority w:val="1"/>
    <w:semiHidden/>
    <w:unhideWhenUsed/>
  </w:style>
  <w:style w:type="table" w:styleId="7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1" w:default="1">
    <w:name w:val="No List"/>
    <w:uiPriority w:val="99"/>
    <w:semiHidden/>
    <w:unhideWhenUsed/>
  </w:style>
  <w:style w:type="character" w:styleId="792" w:customStyle="1">
    <w:name w:val="Title Char"/>
    <w:basedOn w:val="789"/>
    <w:uiPriority w:val="10"/>
    <w:rPr>
      <w:sz w:val="48"/>
      <w:szCs w:val="48"/>
    </w:rPr>
  </w:style>
  <w:style w:type="character" w:styleId="793" w:customStyle="1">
    <w:name w:val="Caption Char"/>
    <w:uiPriority w:val="99"/>
  </w:style>
  <w:style w:type="character" w:styleId="794" w:customStyle="1">
    <w:name w:val="Heading 1 Char"/>
    <w:basedOn w:val="789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Heading 2 Char"/>
    <w:basedOn w:val="789"/>
    <w:uiPriority w:val="9"/>
    <w:rPr>
      <w:rFonts w:ascii="Arial" w:hAnsi="Arial" w:eastAsia="Arial" w:cs="Arial"/>
      <w:sz w:val="34"/>
    </w:rPr>
  </w:style>
  <w:style w:type="character" w:styleId="796" w:customStyle="1">
    <w:name w:val="Heading 3 Char"/>
    <w:basedOn w:val="789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Heading 4 Char"/>
    <w:basedOn w:val="789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Heading 5 Char"/>
    <w:basedOn w:val="789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Heading 6 Char"/>
    <w:basedOn w:val="789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Heading 7 Char"/>
    <w:basedOn w:val="7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Heading 8 Char"/>
    <w:basedOn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Heading 9 Char"/>
    <w:basedOn w:val="789"/>
    <w:uiPriority w:val="9"/>
    <w:rPr>
      <w:rFonts w:ascii="Arial" w:hAnsi="Arial" w:eastAsia="Arial" w:cs="Arial"/>
      <w:i/>
      <w:iCs/>
      <w:sz w:val="21"/>
      <w:szCs w:val="21"/>
    </w:rPr>
  </w:style>
  <w:style w:type="paragraph" w:styleId="803">
    <w:name w:val="Title"/>
    <w:basedOn w:val="779"/>
    <w:next w:val="779"/>
    <w:link w:val="8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4" w:customStyle="1">
    <w:name w:val="Название Знак1"/>
    <w:basedOn w:val="789"/>
    <w:link w:val="803"/>
    <w:uiPriority w:val="10"/>
    <w:rPr>
      <w:sz w:val="48"/>
      <w:szCs w:val="48"/>
    </w:rPr>
  </w:style>
  <w:style w:type="character" w:styleId="805" w:customStyle="1">
    <w:name w:val="Subtitle Char"/>
    <w:basedOn w:val="789"/>
    <w:uiPriority w:val="11"/>
    <w:rPr>
      <w:sz w:val="24"/>
      <w:szCs w:val="24"/>
    </w:rPr>
  </w:style>
  <w:style w:type="character" w:styleId="806" w:customStyle="1">
    <w:name w:val="Quote Char"/>
    <w:uiPriority w:val="29"/>
    <w:rPr>
      <w:i/>
    </w:rPr>
  </w:style>
  <w:style w:type="character" w:styleId="807" w:customStyle="1">
    <w:name w:val="Intense Quote Char"/>
    <w:uiPriority w:val="30"/>
    <w:rPr>
      <w:i/>
    </w:rPr>
  </w:style>
  <w:style w:type="character" w:styleId="808" w:customStyle="1">
    <w:name w:val="Header Char"/>
    <w:basedOn w:val="789"/>
    <w:uiPriority w:val="99"/>
  </w:style>
  <w:style w:type="character" w:styleId="809" w:customStyle="1">
    <w:name w:val="Footer Char"/>
    <w:basedOn w:val="789"/>
    <w:uiPriority w:val="99"/>
  </w:style>
  <w:style w:type="character" w:styleId="810" w:customStyle="1">
    <w:name w:val="Нижний колонтитул Знак"/>
    <w:link w:val="951"/>
    <w:uiPriority w:val="99"/>
  </w:style>
  <w:style w:type="table" w:styleId="811" w:customStyle="1">
    <w:name w:val="Table Grid Light"/>
    <w:basedOn w:val="7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2" w:customStyle="1">
    <w:name w:val="Plain Table 1"/>
    <w:basedOn w:val="79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 w:customStyle="1">
    <w:name w:val="Plain Table 2"/>
    <w:basedOn w:val="79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 w:customStyle="1">
    <w:name w:val="Plain Table 3"/>
    <w:basedOn w:val="7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 w:customStyle="1">
    <w:name w:val="Plain Table 4"/>
    <w:basedOn w:val="7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Plain Table 5"/>
    <w:basedOn w:val="79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1 Light"/>
    <w:basedOn w:val="79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1"/>
    <w:basedOn w:val="79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2"/>
    <w:basedOn w:val="79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3"/>
    <w:basedOn w:val="79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4"/>
    <w:basedOn w:val="79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5"/>
    <w:basedOn w:val="79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6"/>
    <w:basedOn w:val="79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2"/>
    <w:basedOn w:val="7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1"/>
    <w:basedOn w:val="79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2"/>
    <w:basedOn w:val="79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3"/>
    <w:basedOn w:val="79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4"/>
    <w:basedOn w:val="79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5"/>
    <w:basedOn w:val="79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6"/>
    <w:basedOn w:val="79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"/>
    <w:basedOn w:val="79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1"/>
    <w:basedOn w:val="79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2"/>
    <w:basedOn w:val="79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3"/>
    <w:basedOn w:val="79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4"/>
    <w:basedOn w:val="79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5"/>
    <w:basedOn w:val="79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6"/>
    <w:basedOn w:val="79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4"/>
    <w:basedOn w:val="79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 w:customStyle="1">
    <w:name w:val="Grid Table 4 - Accent 1"/>
    <w:basedOn w:val="79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0" w:customStyle="1">
    <w:name w:val="Grid Table 4 - Accent 2"/>
    <w:basedOn w:val="79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1" w:customStyle="1">
    <w:name w:val="Grid Table 4 - Accent 3"/>
    <w:basedOn w:val="79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2" w:customStyle="1">
    <w:name w:val="Grid Table 4 - Accent 4"/>
    <w:basedOn w:val="79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3" w:customStyle="1">
    <w:name w:val="Grid Table 4 - Accent 5"/>
    <w:basedOn w:val="79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4" w:customStyle="1">
    <w:name w:val="Grid Table 4 - Accent 6"/>
    <w:basedOn w:val="79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5" w:customStyle="1">
    <w:name w:val="Grid Table 5 Dark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- Accent 1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2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 - Accent 3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4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5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6"/>
    <w:basedOn w:val="79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6 Colorful"/>
    <w:basedOn w:val="79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3" w:customStyle="1">
    <w:name w:val="Grid Table 6 Colorful - Accent 1"/>
    <w:basedOn w:val="79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4" w:customStyle="1">
    <w:name w:val="Grid Table 6 Colorful - Accent 2"/>
    <w:basedOn w:val="79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5" w:customStyle="1">
    <w:name w:val="Grid Table 6 Colorful - Accent 3"/>
    <w:basedOn w:val="79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6" w:customStyle="1">
    <w:name w:val="Grid Table 6 Colorful - Accent 4"/>
    <w:basedOn w:val="79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7" w:customStyle="1">
    <w:name w:val="Grid Table 6 Colorful - Accent 5"/>
    <w:basedOn w:val="79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8" w:customStyle="1">
    <w:name w:val="Grid Table 6 Colorful - Accent 6"/>
    <w:basedOn w:val="79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9" w:customStyle="1">
    <w:name w:val="Grid Table 7 Colorful"/>
    <w:basedOn w:val="79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1"/>
    <w:basedOn w:val="79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2"/>
    <w:basedOn w:val="79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3"/>
    <w:basedOn w:val="79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4"/>
    <w:basedOn w:val="79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5"/>
    <w:basedOn w:val="79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6"/>
    <w:basedOn w:val="79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"/>
    <w:basedOn w:val="79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1"/>
    <w:basedOn w:val="79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2"/>
    <w:basedOn w:val="79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3"/>
    <w:basedOn w:val="79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4"/>
    <w:basedOn w:val="79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5"/>
    <w:basedOn w:val="79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6"/>
    <w:basedOn w:val="79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2"/>
    <w:basedOn w:val="79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1"/>
    <w:basedOn w:val="79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2"/>
    <w:basedOn w:val="79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3"/>
    <w:basedOn w:val="79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4"/>
    <w:basedOn w:val="79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5"/>
    <w:basedOn w:val="79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6"/>
    <w:basedOn w:val="79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0" w:customStyle="1">
    <w:name w:val="List Table 3"/>
    <w:basedOn w:val="7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1"/>
    <w:basedOn w:val="79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2"/>
    <w:basedOn w:val="79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3"/>
    <w:basedOn w:val="79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4"/>
    <w:basedOn w:val="79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5"/>
    <w:basedOn w:val="79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6"/>
    <w:basedOn w:val="79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"/>
    <w:basedOn w:val="79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1"/>
    <w:basedOn w:val="79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2"/>
    <w:basedOn w:val="79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3"/>
    <w:basedOn w:val="79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4"/>
    <w:basedOn w:val="79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5"/>
    <w:basedOn w:val="79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6"/>
    <w:basedOn w:val="79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5 Dark"/>
    <w:basedOn w:val="79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1"/>
    <w:basedOn w:val="79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2"/>
    <w:basedOn w:val="79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3"/>
    <w:basedOn w:val="79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4"/>
    <w:basedOn w:val="79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5"/>
    <w:basedOn w:val="79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6"/>
    <w:basedOn w:val="79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6 Colorful"/>
    <w:basedOn w:val="79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2" w:customStyle="1">
    <w:name w:val="List Table 6 Colorful - Accent 1"/>
    <w:basedOn w:val="79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03" w:customStyle="1">
    <w:name w:val="List Table 6 Colorful - Accent 2"/>
    <w:basedOn w:val="79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4" w:customStyle="1">
    <w:name w:val="List Table 6 Colorful - Accent 3"/>
    <w:basedOn w:val="79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5" w:customStyle="1">
    <w:name w:val="List Table 6 Colorful - Accent 4"/>
    <w:basedOn w:val="79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6" w:customStyle="1">
    <w:name w:val="List Table 6 Colorful - Accent 5"/>
    <w:basedOn w:val="79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07" w:customStyle="1">
    <w:name w:val="List Table 6 Colorful - Accent 6"/>
    <w:basedOn w:val="79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8" w:customStyle="1">
    <w:name w:val="List Table 7 Colorful"/>
    <w:basedOn w:val="79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1"/>
    <w:basedOn w:val="79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2"/>
    <w:basedOn w:val="79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3"/>
    <w:basedOn w:val="79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4"/>
    <w:basedOn w:val="79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5"/>
    <w:basedOn w:val="79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6"/>
    <w:basedOn w:val="79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ned - Accent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Lined - Accent 1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7" w:customStyle="1">
    <w:name w:val="Lined - Accent 2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8" w:customStyle="1">
    <w:name w:val="Lined - Accent 3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9" w:customStyle="1">
    <w:name w:val="Lined - Accent 4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0" w:customStyle="1">
    <w:name w:val="Lined - Accent 5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1" w:customStyle="1">
    <w:name w:val="Lined - Accent 6"/>
    <w:basedOn w:val="79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2" w:customStyle="1">
    <w:name w:val="Bordered &amp; Lined - Accent"/>
    <w:basedOn w:val="79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Bordered &amp; Lined - Accent 1"/>
    <w:basedOn w:val="79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4" w:customStyle="1">
    <w:name w:val="Bordered &amp; Lined - Accent 2"/>
    <w:basedOn w:val="79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5" w:customStyle="1">
    <w:name w:val="Bordered &amp; Lined - Accent 3"/>
    <w:basedOn w:val="79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6" w:customStyle="1">
    <w:name w:val="Bordered &amp; Lined - Accent 4"/>
    <w:basedOn w:val="79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7" w:customStyle="1">
    <w:name w:val="Bordered &amp; Lined - Accent 5"/>
    <w:basedOn w:val="79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8" w:customStyle="1">
    <w:name w:val="Bordered &amp; Lined - Accent 6"/>
    <w:basedOn w:val="79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9" w:customStyle="1">
    <w:name w:val="Bordered"/>
    <w:basedOn w:val="79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0" w:customStyle="1">
    <w:name w:val="Bordered - Accent 1"/>
    <w:basedOn w:val="79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31" w:customStyle="1">
    <w:name w:val="Bordered - Accent 2"/>
    <w:basedOn w:val="79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2" w:customStyle="1">
    <w:name w:val="Bordered - Accent 3"/>
    <w:basedOn w:val="79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3" w:customStyle="1">
    <w:name w:val="Bordered - Accent 4"/>
    <w:basedOn w:val="79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4" w:customStyle="1">
    <w:name w:val="Bordered - Accent 5"/>
    <w:basedOn w:val="79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35" w:customStyle="1">
    <w:name w:val="Bordered - Accent 6"/>
    <w:basedOn w:val="79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6" w:customStyle="1">
    <w:name w:val="Footnote Text Char"/>
    <w:uiPriority w:val="99"/>
    <w:rPr>
      <w:sz w:val="18"/>
    </w:rPr>
  </w:style>
  <w:style w:type="character" w:styleId="937" w:customStyle="1">
    <w:name w:val="Endnote Text Char"/>
    <w:uiPriority w:val="99"/>
    <w:rPr>
      <w:sz w:val="20"/>
    </w:rPr>
  </w:style>
  <w:style w:type="paragraph" w:styleId="938">
    <w:name w:val="table of figures"/>
    <w:basedOn w:val="779"/>
    <w:next w:val="779"/>
    <w:uiPriority w:val="99"/>
    <w:unhideWhenUsed/>
  </w:style>
  <w:style w:type="paragraph" w:styleId="939" w:customStyle="1">
    <w:name w:val="Название раздела инструкции"/>
    <w:basedOn w:val="779"/>
    <w:pPr>
      <w:jc w:val="center"/>
    </w:pPr>
    <w:rPr>
      <w:b/>
    </w:rPr>
  </w:style>
  <w:style w:type="paragraph" w:styleId="940" w:customStyle="1">
    <w:name w:val="Раздел положения"/>
    <w:basedOn w:val="77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1" w:customStyle="1">
    <w:name w:val="Подраздел раздела положения"/>
    <w:basedOn w:val="779"/>
    <w:pPr>
      <w:numPr>
        <w:ilvl w:val="1"/>
        <w:numId w:val="1"/>
      </w:numPr>
      <w:jc w:val="both"/>
      <w:spacing w:before="80" w:after="80"/>
    </w:pPr>
  </w:style>
  <w:style w:type="paragraph" w:styleId="942">
    <w:name w:val="footnote text"/>
    <w:basedOn w:val="779"/>
    <w:link w:val="1016"/>
    <w:uiPriority w:val="99"/>
    <w:rPr>
      <w:sz w:val="20"/>
      <w:szCs w:val="20"/>
    </w:rPr>
  </w:style>
  <w:style w:type="character" w:styleId="943">
    <w:name w:val="footnote reference"/>
    <w:rPr>
      <w:vertAlign w:val="superscript"/>
    </w:rPr>
  </w:style>
  <w:style w:type="paragraph" w:styleId="944" w:customStyle="1">
    <w:name w:val="Шапка 1"/>
    <w:basedOn w:val="77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5" w:customStyle="1">
    <w:name w:val="Шапка 2"/>
    <w:basedOn w:val="77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6" w:customStyle="1">
    <w:name w:val="Шапка 3"/>
    <w:basedOn w:val="77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47" w:customStyle="1">
    <w:name w:val="Название1"/>
    <w:basedOn w:val="779"/>
    <w:link w:val="989"/>
    <w:uiPriority w:val="10"/>
    <w:qFormat/>
    <w:pPr>
      <w:jc w:val="center"/>
    </w:pPr>
    <w:rPr>
      <w:szCs w:val="20"/>
    </w:rPr>
  </w:style>
  <w:style w:type="paragraph" w:styleId="948">
    <w:name w:val="Header"/>
    <w:basedOn w:val="779"/>
    <w:link w:val="1033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49">
    <w:name w:val="Body Text Indent"/>
    <w:basedOn w:val="779"/>
    <w:pPr>
      <w:ind w:left="360"/>
    </w:pPr>
    <w:rPr>
      <w:sz w:val="24"/>
      <w:szCs w:val="24"/>
    </w:rPr>
  </w:style>
  <w:style w:type="table" w:styleId="950">
    <w:name w:val="Table Grid"/>
    <w:basedOn w:val="79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1">
    <w:name w:val="Footer"/>
    <w:basedOn w:val="779"/>
    <w:link w:val="810"/>
    <w:pPr>
      <w:tabs>
        <w:tab w:val="center" w:pos="4677" w:leader="none"/>
        <w:tab w:val="right" w:pos="9355" w:leader="none"/>
      </w:tabs>
    </w:pPr>
  </w:style>
  <w:style w:type="paragraph" w:styleId="952">
    <w:name w:val="Body Text"/>
    <w:basedOn w:val="779"/>
    <w:link w:val="1019"/>
    <w:pPr>
      <w:spacing w:after="120"/>
    </w:pPr>
  </w:style>
  <w:style w:type="paragraph" w:styleId="953">
    <w:name w:val="Body Text Indent 2"/>
    <w:basedOn w:val="779"/>
    <w:pPr>
      <w:ind w:left="283"/>
      <w:spacing w:after="120" w:line="480" w:lineRule="auto"/>
    </w:pPr>
  </w:style>
  <w:style w:type="paragraph" w:styleId="954">
    <w:name w:val="Body Text 3"/>
    <w:basedOn w:val="779"/>
    <w:pPr>
      <w:spacing w:after="120"/>
    </w:pPr>
    <w:rPr>
      <w:sz w:val="16"/>
      <w:szCs w:val="16"/>
    </w:rPr>
  </w:style>
  <w:style w:type="paragraph" w:styleId="955">
    <w:name w:val="Body Text Indent 3"/>
    <w:basedOn w:val="779"/>
    <w:link w:val="1050"/>
    <w:pPr>
      <w:ind w:left="283"/>
      <w:spacing w:after="120"/>
    </w:pPr>
    <w:rPr>
      <w:sz w:val="16"/>
      <w:szCs w:val="16"/>
    </w:rPr>
  </w:style>
  <w:style w:type="paragraph" w:styleId="956">
    <w:name w:val="Body Text 2"/>
    <w:basedOn w:val="779"/>
    <w:pPr>
      <w:spacing w:after="120" w:line="480" w:lineRule="auto"/>
    </w:pPr>
  </w:style>
  <w:style w:type="paragraph" w:styleId="957">
    <w:name w:val="Block Text"/>
    <w:basedOn w:val="779"/>
    <w:pPr>
      <w:ind w:left="-567" w:right="-766"/>
      <w:jc w:val="center"/>
    </w:pPr>
    <w:rPr>
      <w:b/>
      <w:bCs/>
      <w:sz w:val="24"/>
      <w:szCs w:val="20"/>
    </w:rPr>
  </w:style>
  <w:style w:type="paragraph" w:styleId="958" w:customStyle="1">
    <w:name w:val="Подпункт"/>
    <w:basedOn w:val="779"/>
    <w:link w:val="1014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59" w:customStyle="1">
    <w:name w:val="Пункт2"/>
    <w:basedOn w:val="779"/>
    <w:link w:val="1040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0">
    <w:name w:val="page number"/>
    <w:basedOn w:val="789"/>
  </w:style>
  <w:style w:type="paragraph" w:styleId="961">
    <w:name w:val="toc 1"/>
    <w:basedOn w:val="779"/>
    <w:next w:val="77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2">
    <w:name w:val="toc 3"/>
    <w:basedOn w:val="779"/>
    <w:next w:val="779"/>
    <w:uiPriority w:val="39"/>
    <w:pPr>
      <w:ind w:left="280"/>
    </w:pPr>
    <w:rPr>
      <w:rFonts w:cstheme="minorHAnsi"/>
      <w:sz w:val="20"/>
      <w:szCs w:val="20"/>
    </w:rPr>
  </w:style>
  <w:style w:type="character" w:styleId="963">
    <w:name w:val="Hyperlink"/>
    <w:uiPriority w:val="99"/>
    <w:rPr>
      <w:color w:val="0000ff"/>
      <w:u w:val="single"/>
    </w:rPr>
  </w:style>
  <w:style w:type="paragraph" w:styleId="964" w:customStyle="1">
    <w:name w:val="Раздел регламента"/>
    <w:basedOn w:val="779"/>
  </w:style>
  <w:style w:type="paragraph" w:styleId="965" w:customStyle="1">
    <w:name w:val="Приложение к регламенту"/>
    <w:basedOn w:val="779"/>
    <w:pPr>
      <w:jc w:val="right"/>
    </w:pPr>
  </w:style>
  <w:style w:type="paragraph" w:styleId="966">
    <w:name w:val="toc 2"/>
    <w:basedOn w:val="779"/>
    <w:next w:val="77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7">
    <w:name w:val="Balloon Text"/>
    <w:basedOn w:val="779"/>
    <w:semiHidden/>
    <w:rPr>
      <w:rFonts w:ascii="Tahoma" w:hAnsi="Tahoma" w:cs="Tahoma"/>
      <w:sz w:val="16"/>
      <w:szCs w:val="16"/>
    </w:rPr>
  </w:style>
  <w:style w:type="character" w:styleId="968">
    <w:name w:val="annotation reference"/>
    <w:uiPriority w:val="99"/>
    <w:semiHidden/>
    <w:rPr>
      <w:sz w:val="16"/>
      <w:szCs w:val="16"/>
    </w:rPr>
  </w:style>
  <w:style w:type="paragraph" w:styleId="969">
    <w:name w:val="annotation text"/>
    <w:basedOn w:val="779"/>
    <w:link w:val="1034"/>
    <w:rPr>
      <w:sz w:val="20"/>
      <w:szCs w:val="20"/>
    </w:rPr>
  </w:style>
  <w:style w:type="paragraph" w:styleId="970">
    <w:name w:val="annotation subject"/>
    <w:basedOn w:val="969"/>
    <w:next w:val="969"/>
    <w:semiHidden/>
    <w:rPr>
      <w:b/>
      <w:bCs/>
    </w:rPr>
  </w:style>
  <w:style w:type="paragraph" w:styleId="971" w:customStyle="1">
    <w:name w:val="Обычный (веб)1"/>
    <w:basedOn w:val="77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2">
    <w:name w:val="toc 9"/>
    <w:basedOn w:val="779"/>
    <w:next w:val="77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3">
    <w:name w:val="toc 5"/>
    <w:basedOn w:val="779"/>
    <w:next w:val="77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4">
    <w:name w:val="toc 4"/>
    <w:basedOn w:val="779"/>
    <w:next w:val="779"/>
    <w:uiPriority w:val="39"/>
    <w:pPr>
      <w:jc w:val="both"/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75" w:customStyle="1">
    <w:name w:val="Раздел положения 2"/>
    <w:basedOn w:val="779"/>
    <w:pPr>
      <w:jc w:val="both"/>
      <w:pageBreakBefore/>
      <w:outlineLvl w:val="0"/>
    </w:pPr>
    <w:rPr>
      <w:b/>
    </w:rPr>
  </w:style>
  <w:style w:type="character" w:styleId="976">
    <w:name w:val="Strong"/>
    <w:qFormat/>
    <w:rPr>
      <w:b/>
      <w:bCs/>
    </w:rPr>
  </w:style>
  <w:style w:type="character" w:styleId="977" w:customStyle="1">
    <w:name w:val="Заголовок 6 Знак"/>
    <w:link w:val="785"/>
    <w:uiPriority w:val="9"/>
    <w:rPr>
      <w:rFonts w:ascii="Cambria" w:hAnsi="Cambria"/>
      <w:i/>
      <w:iCs/>
      <w:color w:val="243f60"/>
    </w:rPr>
  </w:style>
  <w:style w:type="character" w:styleId="978" w:customStyle="1">
    <w:name w:val="Заголовок 7 Знак"/>
    <w:link w:val="786"/>
    <w:uiPriority w:val="9"/>
    <w:rPr>
      <w:rFonts w:ascii="Cambria" w:hAnsi="Cambria"/>
      <w:i/>
      <w:iCs/>
      <w:color w:val="404040"/>
    </w:rPr>
  </w:style>
  <w:style w:type="character" w:styleId="979" w:customStyle="1">
    <w:name w:val="Заголовок 8 Знак"/>
    <w:link w:val="787"/>
    <w:uiPriority w:val="9"/>
    <w:rPr>
      <w:rFonts w:ascii="Cambria" w:hAnsi="Cambria"/>
      <w:color w:val="4f81bd"/>
    </w:rPr>
  </w:style>
  <w:style w:type="character" w:styleId="980" w:customStyle="1">
    <w:name w:val="Заголовок 1 Знак"/>
    <w:link w:val="780"/>
    <w:rPr>
      <w:rFonts w:eastAsia="Calibri"/>
      <w:b/>
      <w:sz w:val="28"/>
      <w:szCs w:val="28"/>
    </w:rPr>
  </w:style>
  <w:style w:type="paragraph" w:styleId="981" w:customStyle="1">
    <w:name w:val="Знак Знак Знак Знак Знак Знак Знак Знак Знак"/>
    <w:basedOn w:val="7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2" w:customStyle="1">
    <w:name w:val="Заголовок 2 Знак"/>
    <w:link w:val="781"/>
    <w:rPr>
      <w:rFonts w:eastAsia="Calibri"/>
      <w:b/>
      <w:bCs/>
      <w:sz w:val="24"/>
      <w:szCs w:val="24"/>
    </w:rPr>
  </w:style>
  <w:style w:type="character" w:styleId="983" w:customStyle="1">
    <w:name w:val="Заголовок 3 Знак"/>
    <w:link w:val="782"/>
    <w:rPr>
      <w:rFonts w:eastAsia="Calibri"/>
      <w:b/>
      <w:sz w:val="24"/>
      <w:szCs w:val="24"/>
    </w:rPr>
  </w:style>
  <w:style w:type="character" w:styleId="984" w:customStyle="1">
    <w:name w:val="Заголовок 4 Знак"/>
    <w:link w:val="783"/>
    <w:rPr>
      <w:rFonts w:eastAsia="Calibri"/>
      <w:b/>
      <w:bCs/>
      <w:sz w:val="24"/>
      <w:szCs w:val="24"/>
    </w:rPr>
  </w:style>
  <w:style w:type="character" w:styleId="985" w:customStyle="1">
    <w:name w:val="Заголовок 5 Знак"/>
    <w:link w:val="784"/>
    <w:uiPriority w:val="9"/>
    <w:rPr>
      <w:b/>
      <w:bCs/>
      <w:i/>
      <w:iCs/>
      <w:sz w:val="26"/>
      <w:szCs w:val="26"/>
    </w:rPr>
  </w:style>
  <w:style w:type="character" w:styleId="986" w:customStyle="1">
    <w:name w:val="Заголовок 9 Знак"/>
    <w:link w:val="788"/>
    <w:uiPriority w:val="9"/>
    <w:rPr>
      <w:rFonts w:ascii="Arial" w:hAnsi="Arial" w:cs="Arial"/>
      <w:sz w:val="22"/>
      <w:szCs w:val="22"/>
    </w:rPr>
  </w:style>
  <w:style w:type="paragraph" w:styleId="987">
    <w:name w:val="No Spacing"/>
    <w:basedOn w:val="77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88">
    <w:name w:val="Caption"/>
    <w:basedOn w:val="779"/>
    <w:next w:val="779"/>
    <w:link w:val="79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89" w:customStyle="1">
    <w:name w:val="Название Знак"/>
    <w:link w:val="947"/>
    <w:uiPriority w:val="10"/>
    <w:rPr>
      <w:sz w:val="28"/>
    </w:rPr>
  </w:style>
  <w:style w:type="paragraph" w:styleId="990">
    <w:name w:val="Subtitle"/>
    <w:basedOn w:val="779"/>
    <w:next w:val="779"/>
    <w:link w:val="991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1" w:customStyle="1">
    <w:name w:val="Подзаголовок Знак"/>
    <w:link w:val="990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2">
    <w:name w:val="Emphasis"/>
    <w:uiPriority w:val="20"/>
    <w:qFormat/>
    <w:rPr>
      <w:i/>
      <w:iCs/>
    </w:rPr>
  </w:style>
  <w:style w:type="paragraph" w:styleId="993">
    <w:name w:val="List Paragraph"/>
    <w:basedOn w:val="779"/>
    <w:link w:val="1023"/>
    <w:qFormat/>
    <w:pPr>
      <w:contextualSpacing/>
      <w:ind w:left="720"/>
    </w:pPr>
    <w:rPr>
      <w:rFonts w:eastAsia="Calibri"/>
      <w:sz w:val="24"/>
      <w:szCs w:val="24"/>
    </w:rPr>
  </w:style>
  <w:style w:type="paragraph" w:styleId="994">
    <w:name w:val="Quote"/>
    <w:basedOn w:val="779"/>
    <w:next w:val="779"/>
    <w:link w:val="99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5" w:customStyle="1">
    <w:name w:val="Цитата 2 Знак"/>
    <w:link w:val="994"/>
    <w:uiPriority w:val="29"/>
    <w:rPr>
      <w:rFonts w:ascii="Calibri" w:hAnsi="Calibri" w:eastAsia="Calibri"/>
      <w:i/>
      <w:iCs/>
      <w:color w:val="000000"/>
    </w:rPr>
  </w:style>
  <w:style w:type="paragraph" w:styleId="996">
    <w:name w:val="Intense Quote"/>
    <w:basedOn w:val="779"/>
    <w:next w:val="779"/>
    <w:link w:val="99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97" w:customStyle="1">
    <w:name w:val="Выделенная цитата Знак"/>
    <w:link w:val="996"/>
    <w:uiPriority w:val="30"/>
    <w:rPr>
      <w:rFonts w:ascii="Calibri" w:hAnsi="Calibri" w:eastAsia="Calibri"/>
      <w:b/>
      <w:bCs/>
      <w:i/>
      <w:iCs/>
      <w:color w:val="4f81bd"/>
    </w:rPr>
  </w:style>
  <w:style w:type="character" w:styleId="998">
    <w:name w:val="Subtle Emphasis"/>
    <w:uiPriority w:val="19"/>
    <w:qFormat/>
    <w:rPr>
      <w:i/>
      <w:iCs/>
      <w:color w:val="808080"/>
    </w:rPr>
  </w:style>
  <w:style w:type="character" w:styleId="999">
    <w:name w:val="Intense Emphasis"/>
    <w:uiPriority w:val="21"/>
    <w:qFormat/>
    <w:rPr>
      <w:b/>
      <w:bCs/>
      <w:i/>
      <w:iCs/>
      <w:color w:val="4f81bd"/>
    </w:rPr>
  </w:style>
  <w:style w:type="character" w:styleId="1000">
    <w:name w:val="Subtle Reference"/>
    <w:uiPriority w:val="31"/>
    <w:qFormat/>
    <w:rPr>
      <w:smallCaps/>
      <w:color w:val="c0504d"/>
      <w:u w:val="single"/>
    </w:rPr>
  </w:style>
  <w:style w:type="character" w:styleId="1001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2">
    <w:name w:val="Book Title"/>
    <w:uiPriority w:val="33"/>
    <w:qFormat/>
    <w:rPr>
      <w:b/>
      <w:bCs/>
      <w:smallCaps/>
      <w:spacing w:val="5"/>
    </w:rPr>
  </w:style>
  <w:style w:type="paragraph" w:styleId="1003">
    <w:name w:val="TOC Heading"/>
    <w:basedOn w:val="780"/>
    <w:next w:val="77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4">
    <w:name w:val="E-mail Signature"/>
    <w:basedOn w:val="779"/>
    <w:link w:val="1005"/>
    <w:uiPriority w:val="99"/>
    <w:unhideWhenUsed/>
    <w:rPr>
      <w:rFonts w:eastAsia="Calibri"/>
      <w:sz w:val="24"/>
      <w:szCs w:val="24"/>
    </w:rPr>
  </w:style>
  <w:style w:type="character" w:styleId="1005" w:customStyle="1">
    <w:name w:val="Электронная подпись Знак"/>
    <w:link w:val="1004"/>
    <w:uiPriority w:val="99"/>
    <w:rPr>
      <w:rFonts w:eastAsia="Calibri"/>
      <w:sz w:val="24"/>
      <w:szCs w:val="24"/>
    </w:rPr>
  </w:style>
  <w:style w:type="paragraph" w:styleId="1006" w:customStyle="1">
    <w:name w:val="Знак"/>
    <w:basedOn w:val="7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7" w:customStyle="1">
    <w:name w:val="Нумерованный список ур3"/>
    <w:basedOn w:val="77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08" w:customStyle="1">
    <w:name w:val="Нумерованный список 1"/>
    <w:basedOn w:val="77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09" w:customStyle="1">
    <w:name w:val="Нумерованный список ур2"/>
    <w:basedOn w:val="77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0">
    <w:name w:val="Revision"/>
    <w:hidden/>
    <w:uiPriority w:val="99"/>
    <w:semiHidden/>
    <w:rPr>
      <w:rFonts w:eastAsia="Calibri"/>
      <w:sz w:val="24"/>
      <w:szCs w:val="24"/>
    </w:rPr>
  </w:style>
  <w:style w:type="paragraph" w:styleId="101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2" w:customStyle="1">
    <w:name w:val="Знак Знак3 Знак Знак"/>
    <w:basedOn w:val="7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3" w:customStyle="1">
    <w:name w:val="Пункт"/>
    <w:basedOn w:val="77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4" w:customStyle="1">
    <w:name w:val="Подпункт Знак1"/>
    <w:link w:val="958"/>
    <w:rPr>
      <w:sz w:val="28"/>
    </w:rPr>
  </w:style>
  <w:style w:type="paragraph" w:styleId="1015" w:customStyle="1">
    <w:name w:val="Абзац списка1"/>
    <w:basedOn w:val="77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6" w:customStyle="1">
    <w:name w:val="Текст сноски Знак"/>
    <w:link w:val="942"/>
    <w:uiPriority w:val="99"/>
  </w:style>
  <w:style w:type="numbering" w:styleId="1017" w:customStyle="1">
    <w:name w:val="Стиль1"/>
    <w:uiPriority w:val="99"/>
    <w:pPr>
      <w:numPr>
        <w:ilvl w:val="0"/>
        <w:numId w:val="3"/>
      </w:numPr>
    </w:pPr>
  </w:style>
  <w:style w:type="paragraph" w:styleId="1018" w:customStyle="1">
    <w:name w:val="Таблица"/>
    <w:basedOn w:val="77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19" w:customStyle="1">
    <w:name w:val="Основной текст Знак"/>
    <w:link w:val="952"/>
    <w:rPr>
      <w:sz w:val="28"/>
      <w:szCs w:val="28"/>
    </w:rPr>
  </w:style>
  <w:style w:type="character" w:styleId="1020" w:customStyle="1">
    <w:name w:val="blk"/>
  </w:style>
  <w:style w:type="numbering" w:styleId="1021" w:customStyle="1">
    <w:name w:val="Стиль2"/>
    <w:uiPriority w:val="99"/>
    <w:pPr>
      <w:numPr>
        <w:ilvl w:val="0"/>
        <w:numId w:val="5"/>
      </w:numPr>
    </w:pPr>
  </w:style>
  <w:style w:type="paragraph" w:styleId="1022" w:customStyle="1">
    <w:name w:val="Таблица шапка"/>
    <w:basedOn w:val="779"/>
    <w:pPr>
      <w:ind w:left="57" w:right="57"/>
      <w:keepNext/>
      <w:spacing w:before="40" w:after="40"/>
    </w:pPr>
    <w:rPr>
      <w:sz w:val="22"/>
      <w:szCs w:val="26"/>
    </w:rPr>
  </w:style>
  <w:style w:type="character" w:styleId="1023" w:customStyle="1">
    <w:name w:val="Абзац списка Знак"/>
    <w:link w:val="993"/>
    <w:rPr>
      <w:rFonts w:eastAsia="Calibri"/>
      <w:sz w:val="24"/>
      <w:szCs w:val="24"/>
    </w:rPr>
  </w:style>
  <w:style w:type="character" w:styleId="1024" w:customStyle="1">
    <w:name w:val="комментарий"/>
    <w:rPr>
      <w:b/>
      <w:i/>
      <w:shd w:val="clear" w:color="auto" w:fill="ffff99"/>
    </w:rPr>
  </w:style>
  <w:style w:type="paragraph" w:styleId="1025" w:customStyle="1">
    <w:name w:val="Подподпункт"/>
    <w:basedOn w:val="958"/>
    <w:link w:val="1026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26" w:customStyle="1">
    <w:name w:val="Подподпункт Знак"/>
    <w:link w:val="1025"/>
    <w:rPr>
      <w:sz w:val="26"/>
      <w:szCs w:val="26"/>
    </w:rPr>
  </w:style>
  <w:style w:type="paragraph" w:styleId="1027" w:customStyle="1">
    <w:name w:val="УРОВЕНЬ_(а)"/>
    <w:basedOn w:val="993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28" w:customStyle="1">
    <w:name w:val="УРОВЕНЬ_-"/>
    <w:basedOn w:val="993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29" w:customStyle="1">
    <w:name w:val="УРОВЕНЬ_Абзац_тип2"/>
    <w:basedOn w:val="993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0" w:customStyle="1">
    <w:name w:val="УРОВЕНЬ_Абзац_тип3"/>
    <w:basedOn w:val="993"/>
    <w:link w:val="1032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1" w:customStyle="1">
    <w:name w:val="УРОВЕНЬ_Подпись"/>
    <w:basedOn w:val="993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2" w:customStyle="1">
    <w:name w:val="УРОВЕНЬ_Абзац_тип3 Знак"/>
    <w:link w:val="1030"/>
    <w:rPr>
      <w:rFonts w:eastAsia="Calibri"/>
      <w:sz w:val="26"/>
      <w:szCs w:val="28"/>
      <w:lang w:eastAsia="en-US"/>
    </w:rPr>
  </w:style>
  <w:style w:type="character" w:styleId="1033" w:customStyle="1">
    <w:name w:val="Верхний колонтитул Знак"/>
    <w:link w:val="948"/>
    <w:uiPriority w:val="99"/>
    <w:rPr>
      <w:sz w:val="24"/>
      <w:szCs w:val="24"/>
    </w:rPr>
  </w:style>
  <w:style w:type="character" w:styleId="1034" w:customStyle="1">
    <w:name w:val="Текст примечания Знак"/>
    <w:link w:val="969"/>
  </w:style>
  <w:style w:type="paragraph" w:styleId="1035" w:customStyle="1">
    <w:name w:val="Стиль Заголовок 1 + по ширине"/>
    <w:basedOn w:val="78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36">
    <w:name w:val="endnote text"/>
    <w:basedOn w:val="779"/>
    <w:link w:val="1037"/>
    <w:rPr>
      <w:sz w:val="20"/>
      <w:szCs w:val="20"/>
    </w:rPr>
  </w:style>
  <w:style w:type="character" w:styleId="1037" w:customStyle="1">
    <w:name w:val="Текст концевой сноски Знак"/>
    <w:basedOn w:val="789"/>
    <w:link w:val="1036"/>
  </w:style>
  <w:style w:type="character" w:styleId="1038">
    <w:name w:val="endnote reference"/>
    <w:basedOn w:val="789"/>
    <w:rPr>
      <w:vertAlign w:val="superscript"/>
    </w:rPr>
  </w:style>
  <w:style w:type="paragraph" w:styleId="1039" w:customStyle="1">
    <w:name w:val="Заголовок 2 КВВ"/>
    <w:basedOn w:val="77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0" w:customStyle="1">
    <w:name w:val="Пункт2 Знак"/>
    <w:link w:val="959"/>
    <w:rPr>
      <w:b/>
      <w:sz w:val="28"/>
    </w:rPr>
  </w:style>
  <w:style w:type="paragraph" w:styleId="1041" w:customStyle="1">
    <w:name w:val="Таблица текст"/>
    <w:basedOn w:val="779"/>
    <w:pPr>
      <w:ind w:left="57" w:right="57"/>
      <w:spacing w:before="40" w:after="40"/>
    </w:pPr>
    <w:rPr>
      <w:sz w:val="24"/>
      <w:szCs w:val="26"/>
    </w:rPr>
  </w:style>
  <w:style w:type="paragraph" w:styleId="1042">
    <w:name w:val="Normal (Web)"/>
    <w:basedOn w:val="77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3" w:customStyle="1">
    <w:name w:val="УРОВЕНЬ_1."/>
    <w:basedOn w:val="993"/>
    <w:link w:val="104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4" w:customStyle="1">
    <w:name w:val="УРОВЕНЬ_1. Знак"/>
    <w:link w:val="1043"/>
    <w:rPr>
      <w:rFonts w:eastAsia="Calibri"/>
      <w:caps/>
      <w:sz w:val="28"/>
      <w:szCs w:val="28"/>
      <w:lang w:eastAsia="en-US"/>
    </w:rPr>
  </w:style>
  <w:style w:type="table" w:styleId="1045" w:customStyle="1">
    <w:name w:val="Сетка таблицы1"/>
    <w:basedOn w:val="790"/>
    <w:next w:val="950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6">
    <w:name w:val="toc 6"/>
    <w:basedOn w:val="779"/>
    <w:next w:val="77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47">
    <w:name w:val="toc 7"/>
    <w:basedOn w:val="779"/>
    <w:next w:val="77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48">
    <w:name w:val="toc 8"/>
    <w:basedOn w:val="779"/>
    <w:next w:val="77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49" w:customStyle="1">
    <w:name w:val="Неразрешенное упоминание1"/>
    <w:basedOn w:val="789"/>
    <w:uiPriority w:val="99"/>
    <w:semiHidden/>
    <w:unhideWhenUsed/>
    <w:rPr>
      <w:color w:val="605e5c"/>
      <w:shd w:val="clear" w:color="auto" w:fill="e1dfdd"/>
    </w:rPr>
  </w:style>
  <w:style w:type="character" w:styleId="1050" w:customStyle="1">
    <w:name w:val="Основной текст с отступом 3 Знак"/>
    <w:link w:val="955"/>
    <w:rPr>
      <w:sz w:val="16"/>
      <w:szCs w:val="16"/>
    </w:rPr>
  </w:style>
  <w:style w:type="character" w:styleId="1051">
    <w:name w:val="line number"/>
    <w:basedOn w:val="789"/>
    <w:semiHidden/>
    <w:unhideWhenUsed/>
  </w:style>
  <w:style w:type="paragraph" w:styleId="1052" w:customStyle="1">
    <w:name w:val="Стиль3"/>
    <w:basedOn w:val="953"/>
    <w:link w:val="1053"/>
    <w:pPr>
      <w:ind w:left="900"/>
      <w:jc w:val="both"/>
      <w:spacing w:after="0" w:line="240" w:lineRule="auto"/>
      <w:widowControl w:val="off"/>
      <w:tabs>
        <w:tab w:val="num" w:pos="1127" w:leader="none"/>
      </w:tabs>
    </w:pPr>
    <w:rPr>
      <w:sz w:val="24"/>
      <w:szCs w:val="20"/>
    </w:rPr>
  </w:style>
  <w:style w:type="character" w:styleId="1053" w:customStyle="1">
    <w:name w:val="Стиль3 Знак"/>
    <w:link w:val="1052"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EA125-F13E-4592-8581-0490E8C4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khrapataya-ys</cp:lastModifiedBy>
  <cp:revision>102</cp:revision>
  <dcterms:created xsi:type="dcterms:W3CDTF">2022-12-21T05:36:00Z</dcterms:created>
  <dcterms:modified xsi:type="dcterms:W3CDTF">2026-03-02T21:56:06Z</dcterms:modified>
</cp:coreProperties>
</file>